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B410A" w14:textId="2DCC3291" w:rsidR="000B2BCE" w:rsidRDefault="000B2BCE">
      <w:pPr>
        <w:pStyle w:val="Corpodetexto"/>
        <w:rPr>
          <w:rFonts w:ascii="Times New Roman"/>
        </w:rPr>
      </w:pPr>
    </w:p>
    <w:p w14:paraId="0DBC9EC0" w14:textId="1822D676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0B8A34E0" w14:textId="501B3E34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02E4002" w14:textId="495A74E0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2E42A1A6" w14:textId="4D4022D6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0855B29" w14:textId="06210499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BBA09AB" w14:textId="6B11C5C7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23DD4946" w14:textId="7B50BE25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639B88BA" w14:textId="60D92800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05E07F71" w14:textId="1085B3B2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744B7C7E" w14:textId="0EF3DCE5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C6DFF0E" w14:textId="62DE88F6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0E392D25" w14:textId="4285ADDF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1D6C1E27" w14:textId="77777777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5395060" w14:textId="72CD39E7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6335A9D" w14:textId="3B281114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0B23F027" w14:textId="7CC0D15F" w:rsidR="00CC66ED" w:rsidRPr="00BF15FB" w:rsidRDefault="00CC66ED" w:rsidP="00CC66ED">
      <w:pPr>
        <w:pStyle w:val="Corpodetexto"/>
        <w:jc w:val="center"/>
        <w:rPr>
          <w:rFonts w:ascii="Times New Roman" w:hAnsi="Times New Roman" w:cs="Times New Roman"/>
          <w:sz w:val="26"/>
          <w:szCs w:val="26"/>
        </w:rPr>
      </w:pPr>
    </w:p>
    <w:p w14:paraId="5C870318" w14:textId="77777777" w:rsidR="00CC66ED" w:rsidRPr="00BF15FB" w:rsidRDefault="00CC66ED" w:rsidP="00CC66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7F7F7F"/>
          <w:kern w:val="32"/>
          <w:sz w:val="26"/>
          <w:szCs w:val="26"/>
        </w:rPr>
      </w:pPr>
      <w:r w:rsidRPr="00BF15FB">
        <w:rPr>
          <w:rFonts w:ascii="Times New Roman" w:hAnsi="Times New Roman" w:cs="Times New Roman"/>
          <w:b/>
          <w:bCs/>
          <w:color w:val="7F7F7F"/>
          <w:kern w:val="32"/>
          <w:sz w:val="26"/>
          <w:szCs w:val="26"/>
        </w:rPr>
        <w:t>MEMORIAL DESCRITIVO DE INSTALAÇÕES</w:t>
      </w:r>
    </w:p>
    <w:p w14:paraId="70BBCA91" w14:textId="39EAAD36" w:rsidR="00CC66ED" w:rsidRPr="00BF15FB" w:rsidRDefault="00330ADB" w:rsidP="00330ADB">
      <w:pPr>
        <w:tabs>
          <w:tab w:val="left" w:pos="405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7F7F7F"/>
          <w:kern w:val="32"/>
          <w:sz w:val="26"/>
          <w:szCs w:val="26"/>
        </w:rPr>
      </w:pPr>
      <w:r w:rsidRPr="00BF15FB">
        <w:rPr>
          <w:rFonts w:ascii="Times New Roman" w:hAnsi="Times New Roman" w:cs="Times New Roman"/>
          <w:b/>
          <w:bCs/>
          <w:color w:val="7F7F7F"/>
          <w:kern w:val="32"/>
          <w:sz w:val="26"/>
          <w:szCs w:val="26"/>
        </w:rPr>
        <w:tab/>
      </w:r>
    </w:p>
    <w:p w14:paraId="1B68BBD0" w14:textId="532DD6D4" w:rsidR="00CC66ED" w:rsidRPr="00BF15FB" w:rsidRDefault="00BF15FB" w:rsidP="00CC66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7F7F7F"/>
          <w:kern w:val="32"/>
          <w:sz w:val="26"/>
          <w:szCs w:val="26"/>
        </w:rPr>
      </w:pPr>
      <w:r w:rsidRPr="00BF15FB">
        <w:rPr>
          <w:rFonts w:ascii="Times New Roman" w:hAnsi="Times New Roman" w:cs="Times New Roman"/>
          <w:b/>
          <w:bCs/>
          <w:color w:val="7F7F7F"/>
          <w:kern w:val="32"/>
          <w:sz w:val="26"/>
          <w:szCs w:val="26"/>
        </w:rPr>
        <w:t>PSCIP</w:t>
      </w:r>
    </w:p>
    <w:p w14:paraId="512AD754" w14:textId="77777777" w:rsidR="00330ADB" w:rsidRPr="00BF15FB" w:rsidRDefault="00330ADB" w:rsidP="00CC66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7F7F7F"/>
          <w:kern w:val="32"/>
          <w:sz w:val="26"/>
          <w:szCs w:val="26"/>
        </w:rPr>
      </w:pPr>
    </w:p>
    <w:p w14:paraId="7903A0F4" w14:textId="54395305" w:rsidR="00CC66ED" w:rsidRPr="00BF15FB" w:rsidRDefault="00CC66ED" w:rsidP="00CC66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7F7F7F"/>
          <w:kern w:val="32"/>
          <w:sz w:val="26"/>
          <w:szCs w:val="26"/>
        </w:rPr>
      </w:pPr>
      <w:r w:rsidRPr="00BF15FB">
        <w:rPr>
          <w:rFonts w:ascii="Times New Roman" w:hAnsi="Times New Roman" w:cs="Times New Roman"/>
          <w:b/>
          <w:bCs/>
          <w:color w:val="7F7F7F"/>
          <w:kern w:val="32"/>
          <w:sz w:val="26"/>
          <w:szCs w:val="26"/>
        </w:rPr>
        <w:t>ESCOLA MUNICIPAL BELVEDERE</w:t>
      </w:r>
    </w:p>
    <w:p w14:paraId="0C2D151D" w14:textId="388FA6B8" w:rsidR="00CC66ED" w:rsidRPr="00BF15FB" w:rsidRDefault="00CC66ED" w:rsidP="00CC66ED">
      <w:pPr>
        <w:pStyle w:val="Corpodetexto"/>
        <w:jc w:val="center"/>
        <w:rPr>
          <w:rFonts w:ascii="Times New Roman" w:hAnsi="Times New Roman" w:cs="Times New Roman"/>
          <w:sz w:val="24"/>
          <w:szCs w:val="24"/>
        </w:rPr>
      </w:pPr>
    </w:p>
    <w:p w14:paraId="79FBA89F" w14:textId="4680DC6A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5894A3B3" w14:textId="5958F805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52FCA88" w14:textId="5579A0C4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619657B" w14:textId="0756F734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2E563F5D" w14:textId="3DC9927A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790514EE" w14:textId="5300DAA8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62D143F5" w14:textId="1129018C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6D2D0EC8" w14:textId="749CEDF6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361F85E" w14:textId="20820DAF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5194B2A1" w14:textId="57CD8559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0281969B" w14:textId="77777777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19FA040" w14:textId="24CF38FD" w:rsidR="00CC66ED" w:rsidRDefault="00CC66ED" w:rsidP="00BF15FB">
      <w:pPr>
        <w:tabs>
          <w:tab w:val="left" w:pos="2379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CCA0918" w14:textId="77777777" w:rsidR="00BF15FB" w:rsidRPr="00BF15FB" w:rsidRDefault="00BF15FB" w:rsidP="00BF15FB">
      <w:pPr>
        <w:tabs>
          <w:tab w:val="left" w:pos="2379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397D1E0" w14:textId="225B62B5" w:rsidR="00CC66ED" w:rsidRPr="00BF15FB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6E675A0" w14:textId="723B339E" w:rsidR="00CC66ED" w:rsidRPr="00BF15FB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43832F3" w14:textId="5B078C89" w:rsidR="00CC66ED" w:rsidRPr="00BF15FB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11B0482" w14:textId="77777777" w:rsidR="00CC66ED" w:rsidRPr="00BF15FB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978DBCD" w14:textId="3B7DAA06" w:rsidR="00CC66ED" w:rsidRPr="00BF15FB" w:rsidRDefault="00CC66ED" w:rsidP="00CC66ED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BF15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C6ECDB7" wp14:editId="6401FE17">
            <wp:extent cx="1276350" cy="923925"/>
            <wp:effectExtent l="0" t="0" r="0" b="9525"/>
            <wp:docPr id="1" name="Imagem 1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28F4" w14:textId="65DA16B7" w:rsidR="00CC66ED" w:rsidRPr="00BF15FB" w:rsidRDefault="00CC66ED" w:rsidP="00CC66ED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BF15FB">
        <w:rPr>
          <w:rFonts w:ascii="Times New Roman" w:hAnsi="Times New Roman" w:cs="Times New Roman"/>
          <w:noProof/>
          <w:sz w:val="24"/>
          <w:szCs w:val="24"/>
        </w:rPr>
        <w:t xml:space="preserve">Sete Lagoas, </w:t>
      </w:r>
      <w:r w:rsidR="00BF15FB" w:rsidRPr="00BF15FB">
        <w:rPr>
          <w:rFonts w:ascii="Times New Roman" w:hAnsi="Times New Roman" w:cs="Times New Roman"/>
          <w:noProof/>
          <w:sz w:val="24"/>
          <w:szCs w:val="24"/>
        </w:rPr>
        <w:t>Novembro</w:t>
      </w:r>
      <w:r w:rsidRPr="00BF15FB">
        <w:rPr>
          <w:rFonts w:ascii="Times New Roman" w:hAnsi="Times New Roman" w:cs="Times New Roman"/>
          <w:noProof/>
          <w:sz w:val="24"/>
          <w:szCs w:val="24"/>
        </w:rPr>
        <w:t xml:space="preserve"> de 2022</w:t>
      </w:r>
    </w:p>
    <w:p w14:paraId="65F8E750" w14:textId="18CEE56C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54440F4A" w14:textId="520B666B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70F860CD" w14:textId="77777777" w:rsidR="00CC66ED" w:rsidRPr="00BF15FB" w:rsidRDefault="00CC66ED" w:rsidP="00CC66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5FB">
        <w:rPr>
          <w:rFonts w:ascii="Times New Roman" w:hAnsi="Times New Roman" w:cs="Times New Roman"/>
          <w:b/>
          <w:sz w:val="24"/>
          <w:szCs w:val="24"/>
        </w:rPr>
        <w:t>PREFEITURA</w:t>
      </w:r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r w:rsidRPr="00BF15FB">
        <w:rPr>
          <w:rFonts w:ascii="Times New Roman" w:hAnsi="Times New Roman" w:cs="Times New Roman"/>
          <w:b/>
          <w:sz w:val="24"/>
          <w:szCs w:val="24"/>
        </w:rPr>
        <w:t>MUNICIPAL</w:t>
      </w:r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r w:rsidRPr="00BF15FB">
        <w:rPr>
          <w:rFonts w:ascii="Times New Roman" w:hAnsi="Times New Roman" w:cs="Times New Roman"/>
          <w:b/>
          <w:sz w:val="24"/>
          <w:szCs w:val="24"/>
        </w:rPr>
        <w:t>DE</w:t>
      </w:r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r w:rsidRPr="00BF15FB">
        <w:rPr>
          <w:rFonts w:ascii="Times New Roman" w:hAnsi="Times New Roman" w:cs="Times New Roman"/>
          <w:b/>
          <w:sz w:val="24"/>
          <w:szCs w:val="24"/>
        </w:rPr>
        <w:t>CONSELHEIRO LAFAIETE</w:t>
      </w:r>
    </w:p>
    <w:p w14:paraId="03A68A25" w14:textId="77777777" w:rsidR="00CC66ED" w:rsidRPr="00BF15FB" w:rsidRDefault="00CC66ED" w:rsidP="00CC6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Avenida Mário Rodrigues Pereira, n° 10, Bairro Centro,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Conselheiro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Lafaiete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/MG </w:t>
      </w:r>
    </w:p>
    <w:p w14:paraId="270E4FAF" w14:textId="77777777" w:rsidR="00CC66ED" w:rsidRPr="00BF15FB" w:rsidRDefault="00CC66ED" w:rsidP="00CC66ED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>CEP: 36400-026</w:t>
      </w:r>
    </w:p>
    <w:p w14:paraId="6B13C6C9" w14:textId="77777777" w:rsidR="00CC66ED" w:rsidRPr="00BF15FB" w:rsidRDefault="00CC66ED" w:rsidP="00CC66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E0188" w14:textId="77777777" w:rsidR="00CC66ED" w:rsidRPr="00BF15FB" w:rsidRDefault="00CC66ED" w:rsidP="00CC66E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15FB">
        <w:rPr>
          <w:rFonts w:ascii="Times New Roman" w:hAnsi="Times New Roman" w:cs="Times New Roman"/>
          <w:b/>
          <w:sz w:val="24"/>
          <w:szCs w:val="24"/>
        </w:rPr>
        <w:t>FICHA TÉCNICA</w:t>
      </w:r>
    </w:p>
    <w:p w14:paraId="444DA9A1" w14:textId="77777777" w:rsidR="00CC66ED" w:rsidRPr="00BF15FB" w:rsidRDefault="00CC66ED" w:rsidP="00CC66ED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Empresa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Contratada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2715CA1" w14:textId="77777777" w:rsidR="00CC66ED" w:rsidRPr="00BF15FB" w:rsidRDefault="00CC66ED" w:rsidP="00CC66ED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bCs/>
          <w:sz w:val="24"/>
          <w:szCs w:val="24"/>
        </w:rPr>
        <w:t>Marka</w:t>
      </w:r>
      <w:proofErr w:type="spellEnd"/>
      <w:r w:rsidRPr="00BF15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bCs/>
          <w:sz w:val="24"/>
          <w:szCs w:val="24"/>
        </w:rPr>
        <w:t>Arquitetura</w:t>
      </w:r>
      <w:proofErr w:type="spellEnd"/>
      <w:r w:rsidRPr="00BF15FB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bCs/>
          <w:sz w:val="24"/>
          <w:szCs w:val="24"/>
        </w:rPr>
        <w:t>Engenharia</w:t>
      </w:r>
      <w:proofErr w:type="spellEnd"/>
      <w:r w:rsidRPr="00BF15FB">
        <w:rPr>
          <w:rFonts w:ascii="Times New Roman" w:hAnsi="Times New Roman" w:cs="Times New Roman"/>
          <w:bCs/>
          <w:sz w:val="24"/>
          <w:szCs w:val="24"/>
        </w:rPr>
        <w:t xml:space="preserve"> Ltda.</w:t>
      </w:r>
    </w:p>
    <w:p w14:paraId="01FB6FD9" w14:textId="77777777" w:rsidR="00CC66ED" w:rsidRPr="00BF15FB" w:rsidRDefault="00CC66ED" w:rsidP="00CC66ED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5FE85EA" w14:textId="77777777" w:rsidR="00CC66ED" w:rsidRPr="00BF15FB" w:rsidRDefault="00CC66ED" w:rsidP="00CC66E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b/>
          <w:sz w:val="24"/>
          <w:szCs w:val="24"/>
        </w:rPr>
        <w:t>Equipe</w:t>
      </w:r>
      <w:proofErr w:type="spellEnd"/>
      <w:r w:rsidRPr="00BF15FB">
        <w:rPr>
          <w:rFonts w:ascii="Times New Roman" w:hAnsi="Times New Roman" w:cs="Times New Roman"/>
          <w:b/>
          <w:sz w:val="24"/>
          <w:szCs w:val="24"/>
        </w:rPr>
        <w:t xml:space="preserve"> Técnica:</w:t>
      </w:r>
    </w:p>
    <w:p w14:paraId="306430B0" w14:textId="2A6394E4" w:rsidR="00CC66ED" w:rsidRPr="00BF15FB" w:rsidRDefault="00BF15FB" w:rsidP="00CC66E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Karine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Adriane Santos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Nardy</w:t>
      </w:r>
      <w:proofErr w:type="spellEnd"/>
      <w:r w:rsidRPr="00BF15FB">
        <w:rPr>
          <w:rFonts w:ascii="Times New Roman" w:hAnsi="Times New Roman" w:cs="Times New Roman"/>
          <w:b/>
          <w:sz w:val="24"/>
          <w:szCs w:val="24"/>
        </w:rPr>
        <w:t xml:space="preserve"> | </w:t>
      </w:r>
      <w:proofErr w:type="spellStart"/>
      <w:r w:rsidRPr="00BF15FB">
        <w:rPr>
          <w:rFonts w:ascii="Times New Roman" w:hAnsi="Times New Roman" w:cs="Times New Roman"/>
          <w:b/>
          <w:sz w:val="24"/>
          <w:szCs w:val="24"/>
        </w:rPr>
        <w:t>Engenheir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Pr="00BF15FB">
        <w:rPr>
          <w:rFonts w:ascii="Times New Roman" w:hAnsi="Times New Roman" w:cs="Times New Roman"/>
          <w:b/>
          <w:sz w:val="24"/>
          <w:szCs w:val="24"/>
        </w:rPr>
        <w:t xml:space="preserve"> Civil</w:t>
      </w:r>
      <w:r w:rsidR="00CC66ED" w:rsidRPr="00BF15FB">
        <w:rPr>
          <w:rFonts w:ascii="Times New Roman" w:hAnsi="Times New Roman" w:cs="Times New Roman"/>
          <w:b/>
          <w:sz w:val="24"/>
          <w:szCs w:val="24"/>
        </w:rPr>
        <w:t xml:space="preserve">, CREA-MG </w:t>
      </w:r>
      <w:r>
        <w:rPr>
          <w:rFonts w:ascii="Times New Roman" w:hAnsi="Times New Roman" w:cs="Times New Roman"/>
          <w:b/>
          <w:sz w:val="24"/>
          <w:szCs w:val="24"/>
        </w:rPr>
        <w:t>177.435</w:t>
      </w:r>
      <w:r w:rsidR="00CC66ED" w:rsidRPr="00BF15FB">
        <w:rPr>
          <w:rFonts w:ascii="Times New Roman" w:hAnsi="Times New Roman" w:cs="Times New Roman"/>
          <w:b/>
          <w:sz w:val="24"/>
          <w:szCs w:val="24"/>
        </w:rPr>
        <w:t>/D</w:t>
      </w:r>
    </w:p>
    <w:p w14:paraId="0EAC8FC8" w14:textId="2DE02DC1" w:rsidR="00CC66ED" w:rsidRPr="00BF15FB" w:rsidRDefault="00CC66ED" w:rsidP="00CC66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Autor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Projeto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r w:rsidR="00BF15FB" w:rsidRPr="00BF15FB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BF15FB" w:rsidRPr="00BF15FB">
        <w:rPr>
          <w:rFonts w:ascii="Times New Roman" w:hAnsi="Times New Roman" w:cs="Times New Roman"/>
          <w:sz w:val="24"/>
          <w:szCs w:val="24"/>
        </w:rPr>
        <w:t>Prevenção</w:t>
      </w:r>
      <w:proofErr w:type="spellEnd"/>
      <w:r w:rsidR="00BF15FB"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F15FB" w:rsidRPr="00BF15FB">
        <w:rPr>
          <w:rFonts w:ascii="Times New Roman" w:hAnsi="Times New Roman" w:cs="Times New Roman"/>
          <w:sz w:val="24"/>
          <w:szCs w:val="24"/>
        </w:rPr>
        <w:t>Combate</w:t>
      </w:r>
      <w:proofErr w:type="spellEnd"/>
      <w:r w:rsidR="00BF15FB"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F15FB"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="00BF15FB"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F15FB" w:rsidRPr="00BF15FB">
        <w:rPr>
          <w:rFonts w:ascii="Times New Roman" w:hAnsi="Times New Roman" w:cs="Times New Roman"/>
          <w:sz w:val="24"/>
          <w:szCs w:val="24"/>
        </w:rPr>
        <w:t>Pânico</w:t>
      </w:r>
      <w:proofErr w:type="spellEnd"/>
    </w:p>
    <w:p w14:paraId="0D1495D8" w14:textId="77777777" w:rsidR="00CC66ED" w:rsidRPr="00BF15FB" w:rsidRDefault="00CC66ED" w:rsidP="00CC66E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t-BR"/>
        </w:rPr>
      </w:pPr>
    </w:p>
    <w:p w14:paraId="1A64FD3A" w14:textId="2F535231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2A84FD84" w14:textId="4AFE7104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1E428BE9" w14:textId="407B61AB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585EC127" w14:textId="4624D274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0DAA8B74" w14:textId="62B4966A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4FB3FF7" w14:textId="75D1D04D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0D31178E" w14:textId="2F61668C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6A7D908" w14:textId="303DEF62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53155685" w14:textId="74A516F0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7C6DE13B" w14:textId="1E6691F1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5FF9879E" w14:textId="02D493AA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0319D60" w14:textId="7A6F43B1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1984C9A6" w14:textId="1638B1F6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180FD6E1" w14:textId="32B3252B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1DA5BBA3" w14:textId="7A1C2DF5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261C16BA" w14:textId="1EA0A7D4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145323B8" w14:textId="548E0A0E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6824AE79" w14:textId="62464DAB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E1E80AC" w14:textId="333B2160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7E7C2003" w14:textId="7AE4FF82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E2B1823" w14:textId="1649BE93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2620C84C" w14:textId="52B0DC9B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660C0DB5" w14:textId="7776CC11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237F96EC" w14:textId="70CDA131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1BADBD41" w14:textId="7342222E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B26280F" w14:textId="11DBB047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4064BB1" w14:textId="70928C1B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115DA99" w14:textId="7E7003E8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2A52E3CD" w14:textId="48FA0783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AFF16D7" w14:textId="671BFF4F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6AF556EE" w14:textId="77777777" w:rsidR="00CC66ED" w:rsidRPr="00BF15FB" w:rsidRDefault="00CC66ED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772B410B" w14:textId="405190B5" w:rsidR="000B2BCE" w:rsidRPr="00BF15FB" w:rsidRDefault="000B2BCE">
      <w:pPr>
        <w:pStyle w:val="Corpodetexto"/>
        <w:spacing w:before="3"/>
        <w:rPr>
          <w:rFonts w:ascii="Times New Roman" w:hAnsi="Times New Roman" w:cs="Times New Roman"/>
          <w:sz w:val="24"/>
          <w:szCs w:val="24"/>
        </w:rPr>
      </w:pPr>
    </w:p>
    <w:p w14:paraId="142936B7" w14:textId="0C24BE7C" w:rsidR="00BF15FB" w:rsidRPr="00BF15FB" w:rsidRDefault="00BF15FB" w:rsidP="00BF15FB">
      <w:pPr>
        <w:pStyle w:val="Corpodetexto"/>
        <w:spacing w:line="360" w:lineRule="auto"/>
        <w:ind w:right="692"/>
        <w:jc w:val="both"/>
        <w:rPr>
          <w:rFonts w:ascii="Times New Roman" w:hAnsi="Times New Roman" w:cs="Times New Roman"/>
          <w:sz w:val="24"/>
          <w:szCs w:val="24"/>
        </w:rPr>
      </w:pPr>
    </w:p>
    <w:p w14:paraId="4E19EB21" w14:textId="57FE7F35" w:rsidR="00BF15FB" w:rsidRPr="00BF15FB" w:rsidRDefault="00BF15FB" w:rsidP="00BF15FB">
      <w:pPr>
        <w:pStyle w:val="PargrafodaLista"/>
        <w:numPr>
          <w:ilvl w:val="0"/>
          <w:numId w:val="11"/>
        </w:numPr>
        <w:spacing w:line="360" w:lineRule="auto"/>
        <w:ind w:left="0" w:right="69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>APRESENTAÇÃO</w:t>
      </w:r>
    </w:p>
    <w:p w14:paraId="535E2296" w14:textId="52CC2EF2" w:rsidR="00BF15FB" w:rsidRDefault="00BF15FB" w:rsidP="00BF15FB">
      <w:pPr>
        <w:spacing w:line="360" w:lineRule="auto"/>
        <w:ind w:right="692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br/>
        <w:t xml:space="preserve">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presente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memorial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finalidade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descrever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medidas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segurança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pânico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previstas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Processo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Segurança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Pânico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propriedade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Prefeitura Municipal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Conselheiro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Lafaiete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Escola Municipal,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situada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Jose Coelho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esquina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15FB">
        <w:rPr>
          <w:rFonts w:ascii="Times New Roman" w:hAnsi="Times New Roman" w:cs="Times New Roman"/>
          <w:sz w:val="24"/>
          <w:szCs w:val="24"/>
        </w:rPr>
        <w:t>Canadá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,  nº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S/N,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Siderúrgicos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Conselheiro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Lafaiete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- MG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31E9EE" w14:textId="77777777" w:rsidR="00BF15FB" w:rsidRPr="00BF15FB" w:rsidRDefault="00BF15FB" w:rsidP="00BF15FB">
      <w:pPr>
        <w:spacing w:line="360" w:lineRule="auto"/>
        <w:ind w:right="692"/>
        <w:jc w:val="both"/>
        <w:rPr>
          <w:rFonts w:ascii="Times New Roman" w:hAnsi="Times New Roman" w:cs="Times New Roman"/>
          <w:sz w:val="24"/>
          <w:szCs w:val="24"/>
        </w:rPr>
      </w:pPr>
    </w:p>
    <w:p w14:paraId="5D61A6E9" w14:textId="1EEAA222" w:rsidR="00BF15FB" w:rsidRDefault="00BF15FB" w:rsidP="00BF15FB">
      <w:pPr>
        <w:pStyle w:val="PargrafodaLista"/>
        <w:numPr>
          <w:ilvl w:val="0"/>
          <w:numId w:val="10"/>
        </w:numPr>
        <w:spacing w:line="360" w:lineRule="auto"/>
        <w:ind w:left="0" w:right="69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>REQUISITOS DA LEGISLAÇÃO</w:t>
      </w:r>
    </w:p>
    <w:p w14:paraId="77B2BC31" w14:textId="77777777" w:rsidR="00BF15FB" w:rsidRPr="00BF15FB" w:rsidRDefault="00BF15FB" w:rsidP="00BF15FB">
      <w:pPr>
        <w:spacing w:line="360" w:lineRule="auto"/>
        <w:ind w:right="69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D315C" w14:textId="77777777" w:rsidR="00BF15FB" w:rsidRPr="00BF15FB" w:rsidRDefault="00BF15FB" w:rsidP="00BF15FB">
      <w:pPr>
        <w:spacing w:line="360" w:lineRule="auto"/>
        <w:ind w:right="692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Este PSCIP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base:</w:t>
      </w:r>
    </w:p>
    <w:p w14:paraId="1C311074" w14:textId="77777777" w:rsidR="00BF15FB" w:rsidRDefault="00BF15FB" w:rsidP="00BF15FB">
      <w:pPr>
        <w:spacing w:line="360" w:lineRule="auto"/>
        <w:ind w:right="692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Lei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Complementar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Federal nº 123/2006 -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Institui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Estatuto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Nacional da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Microempresa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da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Empresa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Pequeno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Porte.</w:t>
      </w:r>
    </w:p>
    <w:p w14:paraId="5576CB00" w14:textId="77777777" w:rsidR="00BF15FB" w:rsidRDefault="00BF15FB" w:rsidP="00BF15FB">
      <w:pPr>
        <w:spacing w:line="360" w:lineRule="auto"/>
        <w:ind w:right="692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Lei Federal nº 13.425/2017 -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Estabelece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diretrizes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gerais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sobre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medidas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prevenção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combate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desastres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estabelecimentos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edificações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áreas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reunião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público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Lei Federal nº 13.874/2019 -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Institui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Declaração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Direitos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Liberdade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Econômica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Lei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nº 6.763/1975 -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Consolida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legislação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tributária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do Estado de Minas Gerais.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Lei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nº 14.130/2001 -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Dispõe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sobre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prevenção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pânico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no Estado de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Minas Gerais.</w:t>
      </w:r>
    </w:p>
    <w:p w14:paraId="485826F2" w14:textId="77777777" w:rsidR="00BF15FB" w:rsidRDefault="00BF15FB" w:rsidP="00BF15FB">
      <w:pPr>
        <w:spacing w:line="360" w:lineRule="auto"/>
        <w:ind w:right="692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Lei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nº 14.184/2002 -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Dispõe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sobre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processo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administrativo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âmbito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Administração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Pública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EstadualLei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nº 22.839/2018 -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Dispõe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sobre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prática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atividades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área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competência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do</w:t>
      </w:r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Corpo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Bombeiros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Militar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Minas Gerais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por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voluntários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profissionais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instituições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civis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outras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providências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4C5326B2" w14:textId="77777777" w:rsidR="00BF15FB" w:rsidRDefault="00BF15FB" w:rsidP="00BF15FB">
      <w:pPr>
        <w:spacing w:line="360" w:lineRule="auto"/>
        <w:ind w:right="69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Decreto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Federal nº 10.178/2019 -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Regulamenta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dispositivos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 Lei nº 13.874, de 20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setembro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de 2019, para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dispor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sobre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critérios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procedimentos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para 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classificação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risco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atividade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econômica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para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fixar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prazo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aprovação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tácita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Decreto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nº 38.886/1997 -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Aprova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regulamento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taxas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Decreto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nº 47.222/2017 -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Regulamenta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 Lei nº 14.184, de 31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janeiro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2002, que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dispõe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sobre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processo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administrativo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âmbito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Administração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Pública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quanto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uso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meio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eletrônico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prática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atos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tramitação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processos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administrativos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pela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administração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pública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direta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autárquica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fundacional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Poder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Executivo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Decreto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nº 47.998/2020 -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Regulamenta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 Lei nº 14.130/2001.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Decreto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nº 48.036/2020 -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Regulamenta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no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âmbito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Administração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Pública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Poder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Executivo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dispositivos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 Lei Federal nº 13.874, de 20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setembro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2019, que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tratam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liberdade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econômica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1C1197C9" w14:textId="77777777" w:rsidR="00BF15FB" w:rsidRDefault="00BF15FB" w:rsidP="00BF15FB">
      <w:pPr>
        <w:spacing w:line="360" w:lineRule="auto"/>
        <w:ind w:right="69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Resolução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CGSIM nº 51, de 11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junho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2019 - Versa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sobre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definição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baixo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risco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fins da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Medida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Provisória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nº 881, de 30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abril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2019.</w:t>
      </w:r>
    </w:p>
    <w:p w14:paraId="74432989" w14:textId="77777777" w:rsidR="00BF15FB" w:rsidRDefault="00BF15FB" w:rsidP="00BF15FB">
      <w:pPr>
        <w:spacing w:line="360" w:lineRule="auto"/>
        <w:ind w:right="69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Resolução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CGSIM nº 58, de 12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agosto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2020 -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Dispõe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sobre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classificação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risco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das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atividades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econômicas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para fins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prevenção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pânico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emergências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as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diretrizes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gerais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para 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licenciamento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pelos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Corpos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Bombeiros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Militares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do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Distrito Federal.</w:t>
      </w:r>
    </w:p>
    <w:p w14:paraId="5A6B3B6F" w14:textId="0791825F" w:rsidR="00BF15FB" w:rsidRPr="00BF15FB" w:rsidRDefault="00BF15FB" w:rsidP="00BF15FB">
      <w:pPr>
        <w:spacing w:line="360" w:lineRule="auto"/>
        <w:ind w:right="692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Resolução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Comitê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Gestor da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Redesim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-MG nº 1, de 27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agosto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2020 - Versa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sobre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definição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baixo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risco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âmbito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órgãos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indicados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administração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pública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estadual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para fins da Lei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Federal nº 13.874, de 20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setembro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2019</w:t>
      </w:r>
    </w:p>
    <w:p w14:paraId="56AD5BCD" w14:textId="77777777" w:rsidR="00BF15FB" w:rsidRDefault="00BF15FB" w:rsidP="00BF15FB">
      <w:pPr>
        <w:ind w:right="551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Normas</w:t>
      </w:r>
      <w:proofErr w:type="spellEnd"/>
      <w:r w:rsidRPr="00BF15FB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:</w:t>
      </w:r>
    </w:p>
    <w:p w14:paraId="504D384A" w14:textId="53A7B0AC" w:rsidR="00BF15FB" w:rsidRDefault="00BF15FB" w:rsidP="00BF15FB">
      <w:pPr>
        <w:ind w:right="5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02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Terminologia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Proteção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Pânico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, CBMMG.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03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Composição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Processo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Segurança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Pânico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(PSCIP),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CBMMG.</w:t>
      </w:r>
    </w:p>
    <w:p w14:paraId="2C1163EF" w14:textId="77777777" w:rsid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05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Separação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entre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Edificações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Isolamento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Risco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), CBMMG.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07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Compartimentação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Horizontal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Compartimentação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Vertical, CBMMG.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16 – Sistema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Proteção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por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Extintores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, CBMMG.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17 – Sistema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Hidrantes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Mangotinhos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Combate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, CBMMG.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23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Manipulação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Armazenamento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Comercialização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Utilização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Gás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Liquefeito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Petróleo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(GLP).</w:t>
      </w:r>
    </w:p>
    <w:p w14:paraId="5ED4072F" w14:textId="70FCC4A8" w:rsidR="00BF15FB" w:rsidRPr="00BF15FB" w:rsidRDefault="00BF15FB" w:rsidP="00BF15FB">
      <w:pPr>
        <w:ind w:right="5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24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Comercialização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Distribuição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Utilização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Gás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Natural, CBMMG.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33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Eventos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Temporários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CBMMG.Instrução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34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Cadastramento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Empresas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Responsáveis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Técnicos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, CBMMG.</w:t>
      </w:r>
    </w:p>
    <w:p w14:paraId="47861BBB" w14:textId="77777777" w:rsidR="00BF15FB" w:rsidRPr="00BF15FB" w:rsidRDefault="00BF15FB" w:rsidP="00BF15FB">
      <w:pPr>
        <w:ind w:right="551"/>
        <w:jc w:val="both"/>
        <w:rPr>
          <w:rStyle w:val="markedcontent"/>
        </w:rPr>
      </w:pPr>
      <w:hyperlink r:id="rId8" w:tgtFrame="_blank" w:tooltip="Instrução Técnica 35 (Alterada pela Portaria 61/2020 - vigência a partir de 1º de janeiro de 2021)" w:history="1">
        <w:proofErr w:type="spellStart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>Instrução</w:t>
        </w:r>
        <w:proofErr w:type="spellEnd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 xml:space="preserve"> Técnica 35 - </w:t>
        </w:r>
        <w:proofErr w:type="spellStart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>Segurança</w:t>
        </w:r>
        <w:proofErr w:type="spellEnd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 xml:space="preserve"> Contra </w:t>
        </w:r>
        <w:proofErr w:type="spellStart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>Incêndio</w:t>
        </w:r>
        <w:proofErr w:type="spellEnd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>em</w:t>
        </w:r>
        <w:proofErr w:type="spellEnd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>Edificações</w:t>
        </w:r>
        <w:proofErr w:type="spellEnd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 xml:space="preserve"> que </w:t>
        </w:r>
        <w:proofErr w:type="spellStart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>compõem</w:t>
        </w:r>
        <w:proofErr w:type="spellEnd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 xml:space="preserve"> o </w:t>
        </w:r>
        <w:proofErr w:type="spellStart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>Patrimônio</w:t>
        </w:r>
        <w:proofErr w:type="spellEnd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 xml:space="preserve"> Cultural - 2ª </w:t>
        </w:r>
        <w:proofErr w:type="spellStart"/>
        <w:r w:rsidRPr="00BF15FB">
          <w:rPr>
            <w:rStyle w:val="markedcontent"/>
            <w:rFonts w:ascii="Times New Roman" w:hAnsi="Times New Roman" w:cs="Times New Roman"/>
            <w:sz w:val="24"/>
            <w:szCs w:val="24"/>
          </w:rPr>
          <w:t>Edição</w:t>
        </w:r>
        <w:proofErr w:type="spellEnd"/>
      </w:hyperlink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 (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Alterada</w:t>
      </w:r>
      <w:proofErr w:type="spellEnd"/>
      <w:r w:rsidRPr="00BF15FB">
        <w:rPr>
          <w:rStyle w:val="markedcontent"/>
        </w:rPr>
        <w:t xml:space="preserve"> pela </w:t>
      </w:r>
      <w:proofErr w:type="spellStart"/>
      <w:r w:rsidRPr="00BF15FB">
        <w:rPr>
          <w:rStyle w:val="markedcontent"/>
        </w:rPr>
        <w:t>Portaria</w:t>
      </w:r>
      <w:proofErr w:type="spellEnd"/>
      <w:r w:rsidRPr="00BF15FB">
        <w:rPr>
          <w:rStyle w:val="markedcontent"/>
        </w:rPr>
        <w:t xml:space="preserve"> 65/2021)</w:t>
      </w:r>
    </w:p>
    <w:p w14:paraId="26542126" w14:textId="77777777" w:rsid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40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Adequação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Medidas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Segurança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Edificações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, CBMMG.</w:t>
      </w:r>
    </w:p>
    <w:p w14:paraId="485E2C15" w14:textId="77777777" w:rsid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42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Estabelecimentos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Destinados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Restrição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Liberdade, CBMMG.</w:t>
      </w:r>
    </w:p>
    <w:p w14:paraId="65638968" w14:textId="77777777" w:rsid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43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Armazenagem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Silos, CBMMG.</w:t>
      </w:r>
    </w:p>
    <w:p w14:paraId="54591A4B" w14:textId="77777777" w:rsid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Instrução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Técnica 44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Edificações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Instalações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Agronegócio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, CBMMG.</w:t>
      </w:r>
    </w:p>
    <w:p w14:paraId="07248B91" w14:textId="7C1BDF79" w:rsidR="00BF15FB" w:rsidRPr="00BF15FB" w:rsidRDefault="00BF15FB" w:rsidP="00BF15FB">
      <w:pPr>
        <w:ind w:right="5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NBR 13.231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Proteção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subestações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elétricas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NBR 15.661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Proteção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túneis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rodoviários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urbanos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NBR 15.981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Sistemas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segurança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túneis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Sistemas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sinalização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de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comunicação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emergência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túneis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7249F976" w14:textId="77777777" w:rsidR="00BF15FB" w:rsidRDefault="00BF15FB" w:rsidP="00BF15FB">
      <w:pPr>
        <w:ind w:right="5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700E6E3E" w14:textId="74A8296C" w:rsid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NBR 17.505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Armazenamento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líquidos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inflamáveis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combustíveis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Todas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partes</w:t>
      </w:r>
      <w:proofErr w:type="spellEnd"/>
    </w:p>
    <w:p w14:paraId="5D24CF41" w14:textId="1FF0B2F7" w:rsidR="00BF15FB" w:rsidRP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legislação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adotada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possui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seguintes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classificações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:</w:t>
      </w:r>
    </w:p>
    <w:p w14:paraId="682FD5FD" w14:textId="77777777" w:rsidR="00BF15FB" w:rsidRP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>IT-09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A-1: Grupo E –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Educacional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Cultura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Física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– E-1: Escola de Ensino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Médio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.;</w:t>
      </w:r>
    </w:p>
    <w:p w14:paraId="0E3141E6" w14:textId="77777777" w:rsidR="00BF15FB" w:rsidRP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Grupo F – Local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Reunião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Público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– F5: Artes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cênicas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auditórios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geral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assemelhados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.;</w:t>
      </w:r>
    </w:p>
    <w:p w14:paraId="12B9D91E" w14:textId="77777777" w:rsidR="00BF15FB" w:rsidRP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>IT-08</w:t>
      </w:r>
    </w:p>
    <w:p w14:paraId="7ECB0F17" w14:textId="77777777" w:rsidR="00BF15FB" w:rsidRP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1: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Classificação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altura</w:t>
      </w:r>
      <w:proofErr w:type="spellEnd"/>
    </w:p>
    <w:p w14:paraId="4F0ED23A" w14:textId="77777777" w:rsidR="00BF15FB" w:rsidRPr="00BF15FB" w:rsidRDefault="00BF15FB" w:rsidP="00BF15FB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Tipo “I”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Baixa-Média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Altura (6,00 m ≤ H ≤ 12,00 m);</w:t>
      </w:r>
      <w:r w:rsidRPr="00BF15FB">
        <w:rPr>
          <w:rFonts w:ascii="Times New Roman" w:hAnsi="Times New Roman" w:cs="Times New Roman"/>
          <w:sz w:val="24"/>
          <w:szCs w:val="24"/>
        </w:rPr>
        <w:br/>
      </w:r>
    </w:p>
    <w:p w14:paraId="06A3D211" w14:textId="77777777" w:rsidR="00BF15FB" w:rsidRPr="00BF15FB" w:rsidRDefault="00BF15FB" w:rsidP="00BF15FB">
      <w:pPr>
        <w:ind w:right="5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2: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Classificação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das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edificações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quanto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às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suas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dimensões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planta</w:t>
      </w:r>
    </w:p>
    <w:p w14:paraId="55BE853B" w14:textId="77777777" w:rsidR="00BF15FB" w:rsidRPr="00BF15FB" w:rsidRDefault="00BF15FB" w:rsidP="00BF15FB">
      <w:pPr>
        <w:ind w:right="5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O -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grande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pavimento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Sp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&gt; 930 m</w:t>
      </w:r>
    </w:p>
    <w:p w14:paraId="090A04F9" w14:textId="77777777" w:rsidR="00BF15FB" w:rsidRPr="00BF15FB" w:rsidRDefault="00BF15FB" w:rsidP="00BF15FB">
      <w:pPr>
        <w:ind w:right="5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T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Edificações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grandes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1500 m² &lt; St&lt; 5000 m²</w:t>
      </w:r>
    </w:p>
    <w:p w14:paraId="606D8472" w14:textId="77777777" w:rsidR="00BF15FB" w:rsidRPr="00BF15FB" w:rsidRDefault="00BF15FB" w:rsidP="00BF15FB">
      <w:pPr>
        <w:ind w:right="5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3: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Classificação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das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edificações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quanto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às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suas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características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construtivas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647EE7E6" w14:textId="77777777" w:rsidR="00BF15FB" w:rsidRPr="00BF15FB" w:rsidRDefault="00BF15FB" w:rsidP="00BF15FB">
      <w:pPr>
        <w:ind w:right="5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Y</w:t>
      </w:r>
    </w:p>
    <w:p w14:paraId="1FA3401F" w14:textId="77777777" w:rsidR="00BF15FB" w:rsidRDefault="00BF15FB" w:rsidP="00BF15FB">
      <w:pPr>
        <w:jc w:val="center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</w:p>
    <w:p w14:paraId="73933E44" w14:textId="1AF40CFF" w:rsidR="00BF15FB" w:rsidRPr="00BF15FB" w:rsidRDefault="00BF15FB" w:rsidP="00BF15FB">
      <w:pPr>
        <w:jc w:val="center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CLASSIFICAÇÃO DAS EDIFICAÇÕES E ESPAÇOS DESTINADOS AO</w:t>
      </w:r>
      <w:r w:rsidRPr="00BF15F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15FB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USO COLETIVO QUANTO À CARGA DE INCÊNDIO</w:t>
      </w:r>
    </w:p>
    <w:p w14:paraId="4E601341" w14:textId="77777777" w:rsid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Risco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Carga de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(MJ/m²)</w:t>
      </w:r>
      <w:r w:rsidRPr="00BF15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Médio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Acima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de 300 </w:t>
      </w:r>
      <w:proofErr w:type="spellStart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>até</w:t>
      </w:r>
      <w:proofErr w:type="spellEnd"/>
      <w:r w:rsidRPr="00BF15FB">
        <w:rPr>
          <w:rStyle w:val="markedcontent"/>
          <w:rFonts w:ascii="Times New Roman" w:hAnsi="Times New Roman" w:cs="Times New Roman"/>
          <w:sz w:val="24"/>
          <w:szCs w:val="24"/>
        </w:rPr>
        <w:t xml:space="preserve"> 1.200 MJ/m²</w:t>
      </w:r>
    </w:p>
    <w:p w14:paraId="72B1489C" w14:textId="77777777" w:rsid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40E085" w14:textId="56CF886B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Área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Total EDIFICAÇÃO: 2.448,06 m² </w:t>
      </w:r>
    </w:p>
    <w:p w14:paraId="74F20696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Área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projeção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2.448,06 m² </w:t>
      </w:r>
    </w:p>
    <w:p w14:paraId="03F39225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Área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TERRENO: m² </w:t>
      </w:r>
    </w:p>
    <w:p w14:paraId="323A4D6A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Altura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3,70 m </w:t>
      </w:r>
    </w:p>
    <w:p w14:paraId="01B8A94A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TIPO I -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Baixa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- ≤ 6,00 m Altura Real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: 3,70 m.</w:t>
      </w:r>
    </w:p>
    <w:p w14:paraId="24431DD4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Característica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imóvel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DDC0C5C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Estrutura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Alvenaria</w:t>
      </w:r>
      <w:proofErr w:type="spellEnd"/>
    </w:p>
    <w:p w14:paraId="3DD2F4B2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Divisão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interna: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Alvenaria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divisórias</w:t>
      </w:r>
      <w:proofErr w:type="spellEnd"/>
    </w:p>
    <w:p w14:paraId="6102313F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Cobertura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telha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metálica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281CE6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Pisos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Cerâmico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ladrilho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hidráulico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corrida</w:t>
      </w:r>
    </w:p>
    <w:p w14:paraId="19E96352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Esquadrias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Alumínio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vidro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940A5F" w14:textId="5A112C90" w:rsid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Forro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Laje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concreto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gesso e madeira</w:t>
      </w:r>
    </w:p>
    <w:p w14:paraId="5FE77D55" w14:textId="4EC00ABB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38689481" w14:textId="1F15FA46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292F0801" w14:textId="0C52C72A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5EAF3D98" w14:textId="03DAD7EC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7D9A3B31" w14:textId="20DDCB6D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77D1DB8D" w14:textId="48E0B0F3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6EF13683" w14:textId="36C5306F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45DFDB14" w14:textId="37E4766B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529FACC7" w14:textId="52B43A30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672932DB" w14:textId="3290D938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79EA1521" w14:textId="24398063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4CFF10EF" w14:textId="703978CA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67DBC0A9" w14:textId="747B0728" w:rsid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2ECE7BB9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2F5EA03A" w14:textId="5CF264C8" w:rsidR="00BF15FB" w:rsidRPr="00BF15FB" w:rsidRDefault="00BF15FB" w:rsidP="00BF15FB">
      <w:pPr>
        <w:spacing w:before="240" w:after="2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15FB">
        <w:rPr>
          <w:rFonts w:ascii="Times New Roman" w:hAnsi="Times New Roman" w:cs="Times New Roman"/>
          <w:b/>
          <w:sz w:val="24"/>
          <w:szCs w:val="24"/>
        </w:rPr>
        <w:t>E.2 QUADRO INFORMATIVO – MEDIDAS DE SEGURANÇA</w:t>
      </w:r>
    </w:p>
    <w:tbl>
      <w:tblPr>
        <w:tblW w:w="9780" w:type="dxa"/>
        <w:jc w:val="center"/>
        <w:tblLayout w:type="fixed"/>
        <w:tblLook w:val="0000" w:firstRow="0" w:lastRow="0" w:firstColumn="0" w:lastColumn="0" w:noHBand="0" w:noVBand="0"/>
      </w:tblPr>
      <w:tblGrid>
        <w:gridCol w:w="991"/>
        <w:gridCol w:w="1743"/>
        <w:gridCol w:w="522"/>
        <w:gridCol w:w="1134"/>
        <w:gridCol w:w="3827"/>
        <w:gridCol w:w="1563"/>
      </w:tblGrid>
      <w:tr w:rsidR="00BF15FB" w:rsidRPr="00BF15FB" w14:paraId="473E4411" w14:textId="77777777" w:rsidTr="00A36B50">
        <w:trPr>
          <w:cantSplit/>
          <w:trHeight w:val="941"/>
          <w:tblHeader/>
          <w:jc w:val="center"/>
        </w:trPr>
        <w:tc>
          <w:tcPr>
            <w:tcW w:w="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59002" w14:textId="77777777" w:rsidR="00BF15FB" w:rsidRPr="00BF15FB" w:rsidRDefault="00BF15FB" w:rsidP="00A36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AAA6B9" wp14:editId="1DCAE518">
                  <wp:extent cx="763905" cy="388620"/>
                  <wp:effectExtent l="0" t="0" r="0" b="0"/>
                  <wp:docPr id="170" name="image150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0.jpg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28CBF" w14:textId="77777777" w:rsidR="00BF15FB" w:rsidRPr="00BF15FB" w:rsidRDefault="00BF15FB" w:rsidP="00A36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QUADRO INFORMATIVO MEDIDAS DE SEGURANÇA¹</w:t>
            </w:r>
          </w:p>
        </w:tc>
      </w:tr>
      <w:tr w:rsidR="00BF15FB" w:rsidRPr="00BF15FB" w14:paraId="5DFA9073" w14:textId="77777777" w:rsidTr="00A36B50">
        <w:trPr>
          <w:cantSplit/>
          <w:trHeight w:val="279"/>
          <w:tblHeader/>
          <w:jc w:val="center"/>
        </w:trPr>
        <w:tc>
          <w:tcPr>
            <w:tcW w:w="9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9C9C9" w:fill="auto"/>
            <w:vAlign w:val="center"/>
          </w:tcPr>
          <w:p w14:paraId="3AC6215C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LEGISLAÇÃO</w:t>
            </w:r>
          </w:p>
        </w:tc>
      </w:tr>
      <w:tr w:rsidR="00BF15FB" w:rsidRPr="00BF15FB" w14:paraId="7C999A46" w14:textId="77777777" w:rsidTr="00A36B50">
        <w:trPr>
          <w:cantSplit/>
          <w:trHeight w:val="279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BF6" w:fill="auto"/>
            <w:vAlign w:val="center"/>
          </w:tcPr>
          <w:p w14:paraId="7084774C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Norma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adotada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para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definição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medidas</w:t>
            </w:r>
            <w:proofErr w:type="spellEnd"/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E1918D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Decreto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nº 47.998/2020</w:t>
            </w:r>
          </w:p>
        </w:tc>
      </w:tr>
      <w:tr w:rsidR="00BF15FB" w:rsidRPr="00BF15FB" w14:paraId="36D61E59" w14:textId="77777777" w:rsidTr="00A36B50">
        <w:trPr>
          <w:cantSplit/>
          <w:trHeight w:val="279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BF6" w:fill="auto"/>
            <w:vAlign w:val="center"/>
          </w:tcPr>
          <w:p w14:paraId="2BC05748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Tabela² </w:t>
            </w:r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CE135B5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Tabela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da IT 01 9ª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Edição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Tabela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5)</w:t>
            </w:r>
          </w:p>
        </w:tc>
      </w:tr>
      <w:tr w:rsidR="00BF15FB" w:rsidRPr="00BF15FB" w14:paraId="56090420" w14:textId="77777777" w:rsidTr="00A36B50">
        <w:trPr>
          <w:cantSplit/>
          <w:trHeight w:val="279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BF6" w:fill="auto"/>
            <w:vAlign w:val="center"/>
          </w:tcPr>
          <w:p w14:paraId="4F56FBA5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Situação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 Edificação³</w:t>
            </w:r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700D570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Nova</w:t>
            </w:r>
          </w:p>
        </w:tc>
      </w:tr>
      <w:tr w:rsidR="00BF15FB" w:rsidRPr="00BF15FB" w14:paraId="65C346DB" w14:textId="77777777" w:rsidTr="00A36B50">
        <w:trPr>
          <w:cantSplit/>
          <w:trHeight w:val="279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9C9C9" w:fill="auto"/>
            <w:vAlign w:val="center"/>
          </w:tcPr>
          <w:p w14:paraId="32F022AE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MEDIDAS DE SEGURANÇA</w:t>
            </w:r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9C9C9" w:fill="auto"/>
            <w:vAlign w:val="center"/>
          </w:tcPr>
          <w:p w14:paraId="416F4BFF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REFERÊNCIAS NORMATIVAS⁴ E OBSERVAÇÕES⁵</w:t>
            </w:r>
          </w:p>
        </w:tc>
      </w:tr>
      <w:tr w:rsidR="00BF15FB" w:rsidRPr="00BF15FB" w14:paraId="275B11AB" w14:textId="77777777" w:rsidTr="00A36B50">
        <w:trPr>
          <w:cantSplit/>
          <w:trHeight w:val="299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0F823BDE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Acesso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Viaturas</w:t>
            </w:r>
            <w:proofErr w:type="spellEnd"/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F743D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Conforme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IT04 </w:t>
            </w:r>
          </w:p>
        </w:tc>
      </w:tr>
      <w:tr w:rsidR="00BF15FB" w:rsidRPr="00BF15FB" w14:paraId="0488997A" w14:textId="77777777" w:rsidTr="00A36B50">
        <w:trPr>
          <w:cantSplit/>
          <w:trHeight w:val="289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6BC187DD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Saídas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Emergência</w:t>
            </w:r>
            <w:proofErr w:type="spellEnd"/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12B5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Conforme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IT08</w:t>
            </w:r>
          </w:p>
        </w:tc>
      </w:tr>
      <w:tr w:rsidR="00BF15FB" w:rsidRPr="00BF15FB" w14:paraId="5B4072AA" w14:textId="77777777" w:rsidTr="00A36B50">
        <w:trPr>
          <w:cantSplit/>
          <w:trHeight w:val="279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07748A35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Brigada de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Incêndio</w:t>
            </w:r>
            <w:proofErr w:type="spellEnd"/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6BF2A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Conforme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IT12</w:t>
            </w:r>
          </w:p>
        </w:tc>
      </w:tr>
      <w:tr w:rsidR="00BF15FB" w:rsidRPr="00BF15FB" w14:paraId="321CD219" w14:textId="77777777" w:rsidTr="00A36B50">
        <w:trPr>
          <w:cantSplit/>
          <w:trHeight w:val="283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527BDDBE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Iluminação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Emergência</w:t>
            </w:r>
            <w:proofErr w:type="spellEnd"/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690C5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Conforme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NBR 10.898:2013 – IT 13</w:t>
            </w:r>
          </w:p>
        </w:tc>
      </w:tr>
      <w:tr w:rsidR="00BF15FB" w:rsidRPr="00BF15FB" w14:paraId="000FCA4C" w14:textId="77777777" w:rsidTr="00A36B50">
        <w:trPr>
          <w:cantSplit/>
          <w:trHeight w:val="283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16B4DEBA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Alarme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Incêndio</w:t>
            </w:r>
            <w:proofErr w:type="spellEnd"/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150A6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Conforme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IT14</w:t>
            </w:r>
          </w:p>
        </w:tc>
      </w:tr>
      <w:tr w:rsidR="00BF15FB" w:rsidRPr="00BF15FB" w14:paraId="0B80C472" w14:textId="77777777" w:rsidTr="00A36B50">
        <w:trPr>
          <w:cantSplit/>
          <w:trHeight w:val="283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78D07EDA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Controle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materiais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acabamento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revestimento</w:t>
            </w:r>
            <w:proofErr w:type="spellEnd"/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F68B4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Conforme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IT 38</w:t>
            </w:r>
          </w:p>
        </w:tc>
      </w:tr>
      <w:tr w:rsidR="00BF15FB" w:rsidRPr="00BF15FB" w14:paraId="42D2152A" w14:textId="77777777" w:rsidTr="00A36B50">
        <w:trPr>
          <w:cantSplit/>
          <w:trHeight w:val="283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65FCF10D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Sinalização</w:t>
            </w:r>
            <w:proofErr w:type="spellEnd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Emergência</w:t>
            </w:r>
            <w:proofErr w:type="spellEnd"/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85CEF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Conforme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IT15</w:t>
            </w:r>
          </w:p>
        </w:tc>
      </w:tr>
      <w:tr w:rsidR="00BF15FB" w:rsidRPr="00BF15FB" w14:paraId="2A2438DE" w14:textId="77777777" w:rsidTr="00A36B50">
        <w:trPr>
          <w:cantSplit/>
          <w:trHeight w:val="287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1082CC05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Extintores</w:t>
            </w:r>
            <w:proofErr w:type="spellEnd"/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9948B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Conforme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IT16</w:t>
            </w:r>
          </w:p>
        </w:tc>
      </w:tr>
      <w:tr w:rsidR="00BF15FB" w:rsidRPr="00BF15FB" w14:paraId="05745BC3" w14:textId="77777777" w:rsidTr="00A36B50">
        <w:trPr>
          <w:cantSplit/>
          <w:trHeight w:val="277"/>
          <w:tblHeader/>
          <w:jc w:val="center"/>
        </w:trPr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4AA6621B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Hidrantes</w:t>
            </w:r>
            <w:proofErr w:type="spellEnd"/>
          </w:p>
        </w:tc>
        <w:tc>
          <w:tcPr>
            <w:tcW w:w="5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E8E42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Conforme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IT17</w:t>
            </w:r>
          </w:p>
        </w:tc>
      </w:tr>
      <w:tr w:rsidR="00BF15FB" w:rsidRPr="00BF15FB" w14:paraId="47256141" w14:textId="77777777" w:rsidTr="00A36B50">
        <w:trPr>
          <w:cantSplit/>
          <w:trHeight w:val="283"/>
          <w:tblHeader/>
          <w:jc w:val="center"/>
        </w:trPr>
        <w:tc>
          <w:tcPr>
            <w:tcW w:w="9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9C9C9" w:fill="auto"/>
            <w:vAlign w:val="center"/>
          </w:tcPr>
          <w:p w14:paraId="5BF0FCF6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CLASSIFICAÇÃO DE OCUPAÇÃO E CARGA INCÊNDIO⁶</w:t>
            </w:r>
          </w:p>
        </w:tc>
      </w:tr>
      <w:tr w:rsidR="00BF15FB" w:rsidRPr="00BF15FB" w14:paraId="330AEED3" w14:textId="77777777" w:rsidTr="00A36B50">
        <w:trPr>
          <w:cantSplit/>
          <w:trHeight w:val="630"/>
          <w:tblHeader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0010C612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GRUPO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1E8B50A5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OCUPAÇÃO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61A194F2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DIVISÃO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0EDBE893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DESCRIÇÃO/EXEMPLO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EEAF6" w:fill="auto"/>
            <w:vAlign w:val="center"/>
          </w:tcPr>
          <w:p w14:paraId="25760F05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CARGA DE INCÊNDIO</w:t>
            </w:r>
          </w:p>
          <w:p w14:paraId="3D2AEE76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EM MJ/m²</w:t>
            </w:r>
          </w:p>
        </w:tc>
      </w:tr>
      <w:tr w:rsidR="00BF15FB" w:rsidRPr="00BF15FB" w14:paraId="39B2D72D" w14:textId="77777777" w:rsidTr="00A36B50">
        <w:trPr>
          <w:cantSplit/>
          <w:trHeight w:val="543"/>
          <w:tblHeader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8D2D8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792B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Educacional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Cultura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física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E3227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E-1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6B93D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Escola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geral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Escolas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primeiro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segundo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terceiro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graus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supletivos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pré-universitários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assemelhados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D4668" w14:textId="77777777" w:rsidR="00BF15FB" w:rsidRPr="00BF15FB" w:rsidRDefault="00BF15FB" w:rsidP="00A36B50">
            <w:pPr>
              <w:tabs>
                <w:tab w:val="left" w:pos="2131"/>
              </w:tabs>
              <w:ind w:left="60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300MJ/m²</w:t>
            </w:r>
          </w:p>
        </w:tc>
      </w:tr>
      <w:tr w:rsidR="00BF15FB" w:rsidRPr="00BF15FB" w14:paraId="20FE4F7E" w14:textId="77777777" w:rsidTr="00A36B50">
        <w:trPr>
          <w:cantSplit/>
          <w:trHeight w:val="543"/>
          <w:tblHeader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B98F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C5F1F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9D645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DDCC5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B6B40" w14:textId="77777777" w:rsidR="00BF15FB" w:rsidRPr="00BF15FB" w:rsidRDefault="00BF15FB" w:rsidP="00A36B50">
            <w:pPr>
              <w:tabs>
                <w:tab w:val="left" w:pos="2131"/>
              </w:tabs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5FB" w:rsidRPr="00BF15FB" w14:paraId="1D088942" w14:textId="77777777" w:rsidTr="00A36B50">
        <w:trPr>
          <w:cantSplit/>
          <w:trHeight w:val="543"/>
          <w:tblHeader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C5510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81ACF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9426E" w14:textId="77777777" w:rsidR="00BF15FB" w:rsidRPr="00BF15FB" w:rsidRDefault="00BF15FB" w:rsidP="00A36B5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63785" w14:textId="77777777" w:rsidR="00BF15FB" w:rsidRPr="00BF15FB" w:rsidRDefault="00BF15FB" w:rsidP="00A36B5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CE70C" w14:textId="77777777" w:rsidR="00BF15FB" w:rsidRPr="00BF15FB" w:rsidRDefault="00BF15FB" w:rsidP="00A36B50">
            <w:pPr>
              <w:tabs>
                <w:tab w:val="left" w:pos="2131"/>
              </w:tabs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37B42D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081118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>3.0 - SAÍDAS DE EMERGÊNCIA</w:t>
      </w:r>
    </w:p>
    <w:p w14:paraId="20848B08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Foi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projetado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indicações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sinalizações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rotas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fugas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atendendo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o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IT 08 2º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.</w:t>
      </w:r>
      <w:r w:rsidRPr="00BF15FB">
        <w:rPr>
          <w:rFonts w:ascii="Times New Roman" w:hAnsi="Times New Roman" w:cs="Times New Roman"/>
          <w:sz w:val="24"/>
          <w:szCs w:val="24"/>
        </w:rPr>
        <w:br/>
      </w:r>
    </w:p>
    <w:p w14:paraId="17D6660F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3.1.1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Cálculo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População</w:t>
      </w:r>
      <w:proofErr w:type="spellEnd"/>
    </w:p>
    <w:p w14:paraId="58A546FE" w14:textId="77777777" w:rsid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br/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Classificação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</w:p>
    <w:p w14:paraId="55B0DB38" w14:textId="1312F09C" w:rsid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ocupação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Escola de Ensino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médio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– E-1.</w:t>
      </w:r>
    </w:p>
    <w:p w14:paraId="5ED456CD" w14:textId="77777777" w:rsid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1): “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I”,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média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(6,00 &lt; H ≤ 12,00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m )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>.</w:t>
      </w:r>
    </w:p>
    <w:p w14:paraId="1716111D" w14:textId="57792D86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área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total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2): “T”,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grande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(1.500m² ≤ St &lt; 5000 m²)</w:t>
      </w:r>
      <w:r w:rsidRPr="00BF15FB">
        <w:rPr>
          <w:rFonts w:ascii="Times New Roman" w:hAnsi="Times New Roman" w:cs="Times New Roman"/>
          <w:sz w:val="24"/>
          <w:szCs w:val="24"/>
        </w:rPr>
        <w:br/>
      </w:r>
    </w:p>
    <w:p w14:paraId="1F4B280D" w14:textId="77777777" w:rsid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3.1.2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Dimensionamento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das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Saídas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02815D4" w14:textId="77777777" w:rsid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Obs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:</w:t>
      </w:r>
    </w:p>
    <w:p w14:paraId="6A09855E" w14:textId="77777777" w:rsid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1. Uma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pessoa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1,50m²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área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4)</w:t>
      </w:r>
    </w:p>
    <w:p w14:paraId="449B39D6" w14:textId="087ACCA5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>Y -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sprinklers)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única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=50,00m;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= 60,00 m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Número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mínimo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exigidas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6;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Tipo I) = 1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  <w:t xml:space="preserve">N=P/C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onde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N é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 n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º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Unidades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P é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 n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º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Pessoas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Pavimento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C é a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capacidade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unidade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passagem</w:t>
      </w:r>
      <w:proofErr w:type="spellEnd"/>
    </w:p>
    <w:p w14:paraId="12069858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6DF5FE71" w14:textId="77777777" w:rsidR="006B22CD" w:rsidRDefault="00BF15FB" w:rsidP="006B22C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Classificação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</w:p>
    <w:p w14:paraId="17E58904" w14:textId="77777777" w:rsidR="006B22CD" w:rsidRDefault="00BF15FB" w:rsidP="006B22C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ocupação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Arte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cênica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auditórios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– F-5.</w:t>
      </w:r>
    </w:p>
    <w:p w14:paraId="7E69EDF7" w14:textId="77777777" w:rsidR="006B22CD" w:rsidRDefault="00BF15FB" w:rsidP="006B22C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1): “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I”,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média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(6,00 &lt; H ≤ 12,00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m )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>.</w:t>
      </w:r>
    </w:p>
    <w:p w14:paraId="220F1407" w14:textId="5ACCD08F" w:rsidR="00BF15FB" w:rsidRPr="00BF15FB" w:rsidRDefault="00BF15FB" w:rsidP="006B22C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área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total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2): “T”,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grande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(1.500m² ≤ St &lt; 5000 m²)</w:t>
      </w:r>
      <w:r w:rsidRPr="00BF15FB">
        <w:rPr>
          <w:rFonts w:ascii="Times New Roman" w:hAnsi="Times New Roman" w:cs="Times New Roman"/>
          <w:sz w:val="24"/>
          <w:szCs w:val="24"/>
        </w:rPr>
        <w:br/>
      </w:r>
    </w:p>
    <w:p w14:paraId="378022E4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3.2.1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Dimensionamento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das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Saídas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Obs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: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1. Uma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pessoa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/m²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área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4)</w:t>
      </w:r>
      <w:r w:rsidRPr="00BF15FB">
        <w:rPr>
          <w:rFonts w:ascii="Times New Roman" w:hAnsi="Times New Roman" w:cs="Times New Roman"/>
          <w:sz w:val="24"/>
          <w:szCs w:val="24"/>
        </w:rPr>
        <w:br/>
        <w:t>Y -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sprinklers)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única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=50,00m;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= 60,00 m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Número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mínimo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exigidas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6;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Tipo I) = 2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  <w:t xml:space="preserve">N=P/C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onde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N é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 n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º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Unidades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P é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 n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º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Pessoas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Pavimento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C é a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capacidade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unidade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passagem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.</w:t>
      </w:r>
    </w:p>
    <w:p w14:paraId="49C75035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E5CD0C0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4.0 -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Condições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gerais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edificação</w:t>
      </w:r>
      <w:proofErr w:type="spellEnd"/>
    </w:p>
    <w:p w14:paraId="49C14B3D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proteção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combate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gram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proofErr w:type="gram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foi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projetado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acordo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legislação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vigente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177035CF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6CD0716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disponível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local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fácil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acesso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próximo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entrada principal 24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h/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resumo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atualizado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programa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contendo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principais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riscos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(carga-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produtos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perigosos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), memorial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complementar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fuga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combate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gram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proofErr w:type="gram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,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contendo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inclusive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reserva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água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combate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14:paraId="4295BC5F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4.1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Planejamento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incêndio</w:t>
      </w:r>
      <w:proofErr w:type="spellEnd"/>
    </w:p>
    <w:p w14:paraId="05685923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Estabelecer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parâmetros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mínimos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recursos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humanos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administrativos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necessários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formação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0F305847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4.2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Composição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incêndio</w:t>
      </w:r>
      <w:proofErr w:type="spellEnd"/>
    </w:p>
    <w:p w14:paraId="2294BE4F" w14:textId="77777777" w:rsidR="006B22CD" w:rsidRDefault="00BF15FB" w:rsidP="006B22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composta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levando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população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fixa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o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percentual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cálculo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tabela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1, que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obtido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levando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classe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subclasse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ocupação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planta,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conforme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gram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proofErr w:type="gram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seguir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Número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pavimento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compartimento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= [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população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fixa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pavimento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] x [% de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cálculo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tabela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1]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Notas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1.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números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mínimos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prever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turnos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natureza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trabalho</w:t>
      </w:r>
      <w:proofErr w:type="spellEnd"/>
    </w:p>
    <w:p w14:paraId="74AF176D" w14:textId="77777777" w:rsidR="006B22CD" w:rsidRDefault="00BF15FB" w:rsidP="006B22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eventuais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afastamentos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36428B1" w14:textId="77777777" w:rsidR="006B22CD" w:rsidRDefault="00BF15FB" w:rsidP="006B22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2. Sempre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resultado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obtido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cálculo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número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pavimento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for</w:t>
      </w:r>
    </w:p>
    <w:p w14:paraId="722D10D8" w14:textId="77777777" w:rsidR="006B22CD" w:rsidRDefault="00BF15FB" w:rsidP="006B22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fracionário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arredondá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-lo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F5E901B" w14:textId="77777777" w:rsidR="006B22CD" w:rsidRDefault="00BF15FB" w:rsidP="006B22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3. Sempre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número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pessoas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for superior a 10,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cálculo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número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pavimento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levar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percentual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até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10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pessoas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B97E8BF" w14:textId="77777777" w:rsidR="006B22CD" w:rsidRDefault="00BF15FB" w:rsidP="006B22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4.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planta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houver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subclasse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ocupação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número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calculado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levando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subclasse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ocupação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maior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risco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 O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número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só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calculado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subclasse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ocupação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unidades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forem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compartimentadas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riscos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forem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isolados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7AAF9914" w14:textId="77777777" w:rsidR="006B22CD" w:rsidRDefault="00BF15FB" w:rsidP="006B22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5.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composição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levar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participação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pessoas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setores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4CB756FC" w14:textId="14FAF5AD" w:rsidR="00BF15FB" w:rsidRPr="00BF15FB" w:rsidRDefault="00BF15FB" w:rsidP="006B22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6. Caso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haja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segurança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patrimonial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bombeiro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profissional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civil,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participar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colaboradores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programa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porém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podem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computados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efeito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cálculo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composição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às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específicas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3090EE6B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431755CA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4.3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Critérios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básicos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para a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seleção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candidatos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brigadista</w:t>
      </w:r>
      <w:proofErr w:type="spellEnd"/>
    </w:p>
    <w:p w14:paraId="7142F4D4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candidatos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atender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seguintes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critérios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básicos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permanecer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edificação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b)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experiência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anterior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c)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robustez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física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boa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saúde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bom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conhecimento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e)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responsabilidade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legal;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f)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alfabetizado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NOTA - Caso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nenhum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candidato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atenda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critérios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básicos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relacionados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selecionados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aqueles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atendam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maior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número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requisitos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Organização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organizada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funcionalmente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segue: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membros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executam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atribuições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4.2.5;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b)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líder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responsável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pela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coordenação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execução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emergência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área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atuação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pavimento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/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compartimento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).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escolhido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entre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aprovados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processo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seletivo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c)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chefe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responsável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edificação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um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pavimento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/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compartimento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escolhido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entre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aprovados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processo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seletivo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coordenador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geral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responsável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geral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edificações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compõem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planta.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escolhido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entre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brigadistas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tenham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aprovados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processo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seletivo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Atribuições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atribuições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brigada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seguintes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prevenção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avaliação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riscos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existentes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inspeção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geral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combate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inspeção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geral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fuga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elaboração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relatório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irregularidades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encontradas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encaminhamento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relatório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setores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competentes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orientação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população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fixa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flutuante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exercícios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simulados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b)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emergência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identificação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situação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alarme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/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abandono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área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corte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energia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Corpo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Bombeiros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e/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ajuda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externa;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primeiros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socorros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combate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princípio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recepção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orientação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Corpo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Bombeiros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preenchimento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formulário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registro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trabalho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bombeiros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encaminhamento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formulário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Corpo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Bombeiros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atualização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dados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estatísticos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30B7700A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0851EF67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5.0 - ILUMINAÇÃO DE EMERGÊNCIA</w:t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/>
      </w:r>
    </w:p>
    <w:p w14:paraId="4A59E5A2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5.1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Descrição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</w:p>
    <w:p w14:paraId="75CB5FED" w14:textId="77777777" w:rsidR="00BF15FB" w:rsidRPr="006B22CD" w:rsidRDefault="00BF15FB" w:rsidP="006B22CD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Quanto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condição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permanência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iluminação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pontos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Será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utilizado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o</w:t>
      </w:r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classificado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não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permanente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isto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é,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suas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lâmpadas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permanecem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apagadas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quando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há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iluminação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normal –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concessionária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ligada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. Na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falta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energia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concessionária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as</w:t>
      </w:r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lâmpadas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acendem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automaticamente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pela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fonte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alimentação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própria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bateria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Quanto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</w:t>
      </w:r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fonte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energia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estas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luminárias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denominadas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blocos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autônomos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>.</w:t>
      </w:r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blocos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autônomos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compostos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02 (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duas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lâmpadas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fluorescentes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“PL” de 09 W, com</w:t>
      </w:r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fluxo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luminoso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600 lumens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próximo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uma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incandescente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60 W, num total de</w:t>
      </w:r>
      <w:r w:rsidRPr="006B22CD">
        <w:rPr>
          <w:rFonts w:ascii="Times New Roman" w:hAnsi="Times New Roman" w:cs="Times New Roman"/>
          <w:sz w:val="24"/>
          <w:szCs w:val="24"/>
        </w:rPr>
        <w:br/>
        <w:t xml:space="preserve">1.200, as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lâmpadas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circuito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montados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uma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caixa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plástica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retangular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com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tampa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acrílico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, com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autonomia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para 01 (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uma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) hora e quinze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minutos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aproximadamente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, As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luminárias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possuem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baterias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seladas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garantia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01 (um)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ano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para 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equipamento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e de 06 (seis) meses para a</w:t>
      </w:r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bateria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>.</w:t>
      </w:r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Todas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unidades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iluminação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emergência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serão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ligadas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à rede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energia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elétrica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normal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br/>
        <w:t xml:space="preserve">110 V, para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manter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flutuação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manutenção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carga,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supervisionado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circuito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integrado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alta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precisão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. As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unidades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iluminação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emergência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estão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localizadas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indicação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projeto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– planta 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detalhes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B22C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intensidade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das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luminárias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é de 5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Luxes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mínima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>.</w:t>
      </w:r>
      <w:r w:rsidRPr="006B22CD">
        <w:rPr>
          <w:rFonts w:ascii="Times New Roman" w:hAnsi="Times New Roman" w:cs="Times New Roman"/>
          <w:sz w:val="24"/>
          <w:szCs w:val="24"/>
        </w:rPr>
        <w:br/>
      </w:r>
    </w:p>
    <w:p w14:paraId="162BEC67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5.2 -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Instalação</w:t>
      </w:r>
      <w:proofErr w:type="spellEnd"/>
    </w:p>
    <w:p w14:paraId="43E06BF9" w14:textId="77777777" w:rsidR="006B22CD" w:rsidRDefault="00BF15FB" w:rsidP="006B22CD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6B22CD">
        <w:rPr>
          <w:rFonts w:ascii="Times New Roman" w:hAnsi="Times New Roman" w:cs="Times New Roman"/>
          <w:sz w:val="24"/>
          <w:szCs w:val="24"/>
        </w:rPr>
        <w:t xml:space="preserve">É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responsabilidade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instalador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B22C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execução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iluminação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emergência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>,</w:t>
      </w:r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respeitando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projeto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elaborado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>.</w:t>
      </w:r>
    </w:p>
    <w:p w14:paraId="6B1E52AA" w14:textId="77777777" w:rsidR="006B22CD" w:rsidRDefault="00BF15FB" w:rsidP="006B22CD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r w:rsidRPr="006B22CD">
        <w:rPr>
          <w:rFonts w:ascii="Times New Roman" w:hAnsi="Times New Roman" w:cs="Times New Roman"/>
          <w:sz w:val="24"/>
          <w:szCs w:val="24"/>
        </w:rPr>
        <w:t xml:space="preserve">As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luminárias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emergência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devem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fixadas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uma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altura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não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inferior </w:t>
      </w:r>
      <w:proofErr w:type="gramStart"/>
      <w:r w:rsidRPr="006B22CD">
        <w:rPr>
          <w:rFonts w:ascii="Times New Roman" w:hAnsi="Times New Roman" w:cs="Times New Roman"/>
          <w:sz w:val="24"/>
          <w:szCs w:val="24"/>
        </w:rPr>
        <w:t>a 2,10 metros</w:t>
      </w:r>
      <w:proofErr w:type="gramEnd"/>
      <w:r w:rsidRPr="006B22CD">
        <w:rPr>
          <w:rFonts w:ascii="Times New Roman" w:hAnsi="Times New Roman" w:cs="Times New Roman"/>
          <w:sz w:val="24"/>
          <w:szCs w:val="24"/>
        </w:rPr>
        <w:t xml:space="preserve">, 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não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br/>
        <w:t xml:space="preserve">superior a 3,00 metros do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chão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estabelecimento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>.</w:t>
      </w:r>
    </w:p>
    <w:p w14:paraId="0C700398" w14:textId="77777777" w:rsidR="006B22CD" w:rsidRDefault="00BF15FB" w:rsidP="006B22CD">
      <w:pPr>
        <w:ind w:right="551"/>
        <w:jc w:val="both"/>
        <w:rPr>
          <w:rFonts w:ascii="Times New Roman" w:hAnsi="Times New Roman" w:cs="Times New Roman"/>
          <w:sz w:val="24"/>
          <w:szCs w:val="24"/>
        </w:rPr>
      </w:pPr>
      <w:r w:rsidRPr="006B22C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fixação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pontos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luz e da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sinalização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rígida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, de forma </w:t>
      </w:r>
      <w:proofErr w:type="gramStart"/>
      <w:r w:rsidRPr="006B22C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impedir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queda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acidental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>,</w:t>
      </w:r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remoção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desautorizada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e que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não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possa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facilmente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avariada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colocada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fora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serviço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>.</w:t>
      </w:r>
    </w:p>
    <w:p w14:paraId="2E18F513" w14:textId="56BF8577" w:rsidR="00BF15FB" w:rsidRPr="00BF15FB" w:rsidRDefault="00BF15FB" w:rsidP="006B22CD">
      <w:pPr>
        <w:ind w:right="55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22C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fiação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executada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com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fios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rígidos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com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isolação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pelo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menos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600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Vca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áreas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sem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possibilidade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70° C e para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áreas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com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possibilidade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90°C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mais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>,</w:t>
      </w:r>
      <w:r w:rsidRPr="006B22C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dependendo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risco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e da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possibilidade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proteção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 xml:space="preserve"> externa contra o </w:t>
      </w:r>
      <w:proofErr w:type="spellStart"/>
      <w:r w:rsidRPr="006B22CD">
        <w:rPr>
          <w:rFonts w:ascii="Times New Roman" w:hAnsi="Times New Roman" w:cs="Times New Roman"/>
          <w:sz w:val="24"/>
          <w:szCs w:val="24"/>
        </w:rPr>
        <w:t>calor</w:t>
      </w:r>
      <w:proofErr w:type="spellEnd"/>
      <w:r w:rsidRPr="006B22CD">
        <w:rPr>
          <w:rFonts w:ascii="Times New Roman" w:hAnsi="Times New Roman" w:cs="Times New Roman"/>
          <w:sz w:val="24"/>
          <w:szCs w:val="24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Não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permitidos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remendos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dentro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tubulações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Também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permitida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gram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proofErr w:type="gram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interligação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dois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vários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terminais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apropriados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diâmetros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correntes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polaridade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indicada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pela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isolação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vários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circuitos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tubulação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trançados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pares e com cores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diferenciadas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facilitar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identificação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montagem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também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manutenção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código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cores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acordo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a NBR 8.662.</w:t>
      </w:r>
    </w:p>
    <w:p w14:paraId="0E7EA296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5.3 -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Manutenção</w:t>
      </w:r>
      <w:proofErr w:type="spellEnd"/>
    </w:p>
    <w:p w14:paraId="2B300F50" w14:textId="77777777" w:rsidR="00BF15FB" w:rsidRPr="00BF15FB" w:rsidRDefault="00BF15FB" w:rsidP="006B22CD">
      <w:pPr>
        <w:ind w:right="55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proprietário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possuidor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qualquer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título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edificação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responsável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perfeito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fabricante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instalador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co-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responsáveis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desde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observadas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especificações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manutenção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Consiste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primeiro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manutenção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verificação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lâmpadas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fusíveis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disjuntores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eletrólito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data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fabricação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início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garantia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baterias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Consiste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manutenção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reparos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substituições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componentes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compreendidos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primeiro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técnico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atende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manutenção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responsável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defeitos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constatados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anotados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caderno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controle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segurança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edificação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reparos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rapidamente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dentro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período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24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hs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anotação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Mensalmente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verificadas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a)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passagem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vigília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iluminação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lâmpadas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b)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eficácia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existente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colocar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à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distância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repouso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retomada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automática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vigília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Semestralmente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verificado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carga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acumuladores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colocando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menos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1h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pela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metade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tempo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garantido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, a plena carga, com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lâmpadas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acesas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Recomenda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-se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teste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seja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efetuado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véspera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qual a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edificação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esteja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mínima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ocupação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tendo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vista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recarga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completa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(24 h).</w:t>
      </w:r>
    </w:p>
    <w:p w14:paraId="6DC83A17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5696FE1" w14:textId="77777777" w:rsidR="00BF15FB" w:rsidRPr="00BF15FB" w:rsidRDefault="00BF15FB" w:rsidP="00BF15F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>6.0 - DETECTOR DE FUMAÇA</w:t>
      </w:r>
    </w:p>
    <w:p w14:paraId="28F5D764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detectores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fumaça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pontual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inteligente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possuir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características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mínimas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abaixo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: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Detector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fotoelétrico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;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Microprocessado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;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Diagnóstico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próprio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;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Memória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volátil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Histórico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manutenção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;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Compensação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baseada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características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ambiente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;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A base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montagem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Detector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possuir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saída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conexão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LED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indicador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remoto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;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A base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montagem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dispositivo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próprio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isolamento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falhas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pontos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onde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forem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necessárias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laço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detecção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);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O conjunto base/detector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possuir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proteção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anti-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roubo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;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Certificado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UL e FM;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Ajuste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níveis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sensibilidade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alarme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;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O Detector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possuir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dois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LEDs para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indicação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funcionamento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:</w:t>
      </w:r>
      <w:r w:rsidRPr="00BF15FB">
        <w:rPr>
          <w:rFonts w:ascii="Times New Roman" w:hAnsi="Times New Roman" w:cs="Times New Roman"/>
          <w:sz w:val="24"/>
          <w:szCs w:val="24"/>
        </w:rPr>
        <w:br/>
        <w:t>o Verde – Normal;</w:t>
      </w:r>
      <w:r w:rsidRPr="00BF15FB">
        <w:rPr>
          <w:rFonts w:ascii="Times New Roman" w:hAnsi="Times New Roman" w:cs="Times New Roman"/>
          <w:sz w:val="24"/>
          <w:szCs w:val="24"/>
        </w:rPr>
        <w:br/>
      </w:r>
      <w:r w:rsidRPr="00BF15FB">
        <w:rPr>
          <w:rFonts w:ascii="Times New Roman" w:hAnsi="Times New Roman" w:cs="Times New Roman"/>
          <w:sz w:val="24"/>
          <w:szCs w:val="24"/>
        </w:rPr>
        <w:lastRenderedPageBreak/>
        <w:t xml:space="preserve">o Vermelho –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Alarme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/>
        <w:t xml:space="preserve">7. 0 COMPOSIÇÃO DO SISTEMA DE ALARME DE INCÊNDIO </w:t>
      </w:r>
    </w:p>
    <w:p w14:paraId="7A54EA32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/>
        <w:t xml:space="preserve">7.1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informações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gerais</w:t>
      </w:r>
      <w:proofErr w:type="spellEnd"/>
    </w:p>
    <w:p w14:paraId="26A97C52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alarme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composto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central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alarme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endereçável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endereçáveis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sonoros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/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visuais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endereçáveis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São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pavimento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circuito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interligar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detectores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circuito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4F132EE1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7.2 CLASSE DO SISTEMA </w:t>
      </w:r>
    </w:p>
    <w:p w14:paraId="2DFA4674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classe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definida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formato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circuito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alimentação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componentes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alarme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Este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classe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B,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onde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existe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retorno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central,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circuito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inicia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central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alarme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chega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pontos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onde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localizam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componentes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7.3 SISTEMA DE ACIONAMENTO</w:t>
      </w:r>
    </w:p>
    <w:p w14:paraId="756DAC60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composto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endereçáveis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efetuado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quebra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vidro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localizado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parte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frontal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dispositivo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um par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comunicarem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a central.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pavimento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circuito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detecção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14:paraId="0B7ACFB8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8.0 - SISTEMA DE SINALIZAÇÃO </w:t>
      </w:r>
    </w:p>
    <w:p w14:paraId="017F8E9A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composto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sonoros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/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visuais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convencionais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um par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comunicarem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a central.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possuem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circuito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independente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pavimento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14:paraId="158E6BBC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8.1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Fiação</w:t>
      </w:r>
      <w:proofErr w:type="spellEnd"/>
    </w:p>
    <w:p w14:paraId="13C7D136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projeto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composta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cabeamento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blindado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dedicado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alarme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cabo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um par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1,00 mm²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blindagem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8.2 Central de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alarme</w:t>
      </w:r>
      <w:proofErr w:type="spellEnd"/>
    </w:p>
    <w:p w14:paraId="73B1AF49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central é 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suporta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periféricos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endereçáveis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comunica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periférico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através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um </w:t>
      </w:r>
      <w:proofErr w:type="gram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par</w:t>
      </w:r>
      <w:proofErr w:type="gram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A central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independentes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detecção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/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identificadas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“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laço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”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interligar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detecção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identificadas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“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sirenes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”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interligar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14:paraId="029E8197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A Central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detecção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possuir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displays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externos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informem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operadores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o tempo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máximo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identificação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origem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ocorrência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alarme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e o tempo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máximo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para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operador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registre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tomada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após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ocorrência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alarme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Estes 2 tempos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mostrados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painéis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distintos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serem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instalados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sala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supervisão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BMS.</w:t>
      </w:r>
    </w:p>
    <w:p w14:paraId="15DE35AE" w14:textId="77777777" w:rsidR="00BF15FB" w:rsidRPr="00BF15FB" w:rsidRDefault="00BF15FB" w:rsidP="00BF15FB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lastRenderedPageBreak/>
        <w:t xml:space="preserve">É recomendado um máximo de 2 minutos para identificação da origem da ocorrência e 6 minutos (ou 4 minutos após a identificação) para registro da ação necessária para solução da ocorrência. Estes registros deverão ser realizados por operadores habilitados que serão identificados por meio de senha de acesso ao sistema. </w:t>
      </w:r>
    </w:p>
    <w:p w14:paraId="08BE140E" w14:textId="77777777" w:rsidR="00BF15FB" w:rsidRPr="00BF15FB" w:rsidRDefault="00BF15FB" w:rsidP="00BF15FB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Caso os procedimentos de identificação e registro da ação imediata não sejam tomados dentro dos tempos máximos previstos o BMS deverá comutar o empreendimento para modo de evacuação de emergência, atuando nos sistemas de sonorização com mensagens pré-gravadas, bloqueando acesso a dispositivos de transporte vertical (elevadores, escadas rolantes, etc..), liberando todos os portões de saída, desligando sistemas elétricos não emergenciais, restringindo funcionamento do sistema de ar condicionado e ventilação mecânica às condições para emergência e evacuação, emitindo mensagens gráficas nos displays (telas) internas e acionando a brigada de incêndio e Corpo de Bombeiros, que neste caso deverão assumir o controle da edificação. </w:t>
      </w:r>
      <w:r w:rsidRPr="00BF15FB">
        <w:rPr>
          <w:rFonts w:ascii="Times New Roman" w:hAnsi="Times New Roman" w:cs="Times New Roman"/>
          <w:sz w:val="24"/>
          <w:szCs w:val="24"/>
        </w:rPr>
        <w:br/>
      </w:r>
    </w:p>
    <w:p w14:paraId="7F141E45" w14:textId="77777777" w:rsidR="00BF15FB" w:rsidRPr="00BF15FB" w:rsidRDefault="00BF15FB" w:rsidP="00BF15F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>8.3 Fonte de alimentação remota</w:t>
      </w:r>
    </w:p>
    <w:p w14:paraId="41DA3E51" w14:textId="77777777" w:rsidR="00BF15FB" w:rsidRPr="00BF15FB" w:rsidRDefault="00BF15FB" w:rsidP="00BF15FB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br/>
        <w:t>As fontes de alimentação remotas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boosters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) para os dispositivos de alarme deverão ser</w:t>
      </w:r>
      <w:r w:rsidRPr="00BF15FB">
        <w:rPr>
          <w:rFonts w:ascii="Times New Roman" w:hAnsi="Times New Roman" w:cs="Times New Roman"/>
          <w:sz w:val="24"/>
          <w:szCs w:val="24"/>
        </w:rPr>
        <w:br/>
        <w:t>supervisionada pela Central de Detecção e Alarme de Incêndio, bem como apresentar os</w:t>
      </w:r>
      <w:r w:rsidRPr="00BF15FB">
        <w:rPr>
          <w:rFonts w:ascii="Times New Roman" w:hAnsi="Times New Roman" w:cs="Times New Roman"/>
          <w:sz w:val="24"/>
          <w:szCs w:val="24"/>
        </w:rPr>
        <w:br/>
        <w:t>seguintes requerimentos mínimos:</w:t>
      </w:r>
    </w:p>
    <w:p w14:paraId="6C959000" w14:textId="77777777" w:rsidR="00BF15FB" w:rsidRPr="00BF15FB" w:rsidRDefault="00BF15FB" w:rsidP="00BF15FB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Possuir as seguintes opções de fonte de alimentação primária: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o 110/120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Vac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50/60 Hz, 4,5 A; OU  240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Vac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50/60 Hz, 2,5 A.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Possuir Saída de Alimentações 24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Vcc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6,0 A (total), assim distribuídas: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o 01 Saída 24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Vcc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4,5 A para uso interno ao painel;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o 01 Saída 24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Vcc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1,0 A para uso interno ou externo ao painel;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o Cada uma de suas saídas deve ser isolada, sendo que um curto-circuito gerado em uma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saída NAC não pode gerar problemas nas outras saídas NAC do mesmo módulo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(atendendo às exigências da UL 864 9ª edição).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Possuir carregador para as seguintes baterias: 25 a 200 Ah. </w:t>
      </w:r>
      <w:r w:rsidRPr="00BF15FB">
        <w:rPr>
          <w:rFonts w:ascii="Times New Roman" w:hAnsi="Times New Roman" w:cs="Times New Roman"/>
          <w:sz w:val="24"/>
          <w:szCs w:val="24"/>
        </w:rPr>
        <w:br/>
        <w:t>• A fonte de alimentação principal deverá necessariamente ser desenhada para supervisionar os circuitos de carga de baterias.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Poder operar na seguinte faixa de temperatura: de 0 a 49 ºC – atender à NFPA (se possível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controlar temperatura ambiente entre 15 e 27 ºC).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Poder operar na seguinte umidade relativa máxima: 93% ± 2% (sem condensação) a 32 ºC ± 2ºC.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Deverá ser listado UL 864 9ª edição e aprovado FM. </w:t>
      </w:r>
      <w:r w:rsidRPr="00BF15FB">
        <w:rPr>
          <w:rFonts w:ascii="Times New Roman" w:hAnsi="Times New Roman" w:cs="Times New Roman"/>
          <w:sz w:val="24"/>
          <w:szCs w:val="24"/>
        </w:rPr>
        <w:br/>
        <w:t xml:space="preserve">• Referências: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Honeywell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XLS-3000 ou equivalente.</w:t>
      </w:r>
    </w:p>
    <w:p w14:paraId="40C24364" w14:textId="77777777" w:rsidR="00BF15FB" w:rsidRPr="00BF15FB" w:rsidRDefault="00BF15FB" w:rsidP="00BF15FB">
      <w:pPr>
        <w:pStyle w:val="SemEspaamen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/>
        <w:t>8.4 Infraestrutura</w:t>
      </w:r>
    </w:p>
    <w:p w14:paraId="77A022AD" w14:textId="77777777" w:rsidR="00BF15FB" w:rsidRPr="00BF15FB" w:rsidRDefault="00BF15FB" w:rsidP="00BF15FB">
      <w:pPr>
        <w:pStyle w:val="SemEspaamen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infraestrutura para o sistema é composta de eletrodutos de PVC de bitola ¾” dispostos de forma aparente e/ou embutidos no gesso. Os eletrodutos devem ser da cor vermelha e devem ser dedicados ao sistema de alarme de incêndio.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8.5 Detalhes executivos</w:t>
      </w:r>
    </w:p>
    <w:p w14:paraId="555F2E66" w14:textId="77777777" w:rsidR="00BF15FB" w:rsidRPr="00BF15FB" w:rsidRDefault="00BF15FB" w:rsidP="00BF15FB">
      <w:pPr>
        <w:pStyle w:val="SemEspaamen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B7"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Todos os cabos devem possuir o sistema de blindagem devidamente aterrados;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B7"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Todas as emendas do cabeamento devem ser feitas nos próprios dispositivos;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B7"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Os cabos devem permanecer a uma distância mínima de 50 cm da fiação elétrica de corrente AC;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B7"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Ao fim de cada circuito (detecção, acionamento ou sinalização), é necessário efetuar a instalação de um resistor de valor 4k7 ohms de ¼ de watt para indicar o fim de linha;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B7"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alimentação da central deve ser efetuada através de um circuito dedicado com sistema de proteção adequado ao equipamento;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B7"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Seguir as recomendações do fabricante quanto ao uso de baterias auxiliares na alimentação da central de alarme;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B7"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Seguir instruções do fabricante quanto aos detalhes de endereçamento dos dispositivos do sistema;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B7"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Instalar os detectores de fumaça respeitando o posicionamento deles na planta; </w:t>
      </w:r>
    </w:p>
    <w:p w14:paraId="3F83DA18" w14:textId="77777777" w:rsidR="00BF15FB" w:rsidRPr="00BF15FB" w:rsidRDefault="00BF15FB" w:rsidP="00BF15FB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14:paraId="405298CB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8.6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Detalhamento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sistema</w:t>
      </w:r>
      <w:proofErr w:type="spellEnd"/>
    </w:p>
    <w:p w14:paraId="3BBC87ED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F15FB" w:rsidRPr="00BF15FB" w14:paraId="103031B5" w14:textId="77777777" w:rsidTr="00A36B50">
        <w:tc>
          <w:tcPr>
            <w:tcW w:w="2123" w:type="dxa"/>
          </w:tcPr>
          <w:p w14:paraId="4AB76351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Pavimento</w:t>
            </w:r>
          </w:p>
        </w:tc>
        <w:tc>
          <w:tcPr>
            <w:tcW w:w="2123" w:type="dxa"/>
          </w:tcPr>
          <w:p w14:paraId="7869FA8E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Numero</w:t>
            </w:r>
            <w:proofErr w:type="spellEnd"/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circuito de acionamento</w:t>
            </w:r>
          </w:p>
        </w:tc>
        <w:tc>
          <w:tcPr>
            <w:tcW w:w="2124" w:type="dxa"/>
          </w:tcPr>
          <w:p w14:paraId="14BE1B84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Total de acionadores</w:t>
            </w:r>
          </w:p>
        </w:tc>
        <w:tc>
          <w:tcPr>
            <w:tcW w:w="2124" w:type="dxa"/>
          </w:tcPr>
          <w:p w14:paraId="5C32493B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Total de sinalizadores</w:t>
            </w:r>
          </w:p>
        </w:tc>
      </w:tr>
      <w:tr w:rsidR="00BF15FB" w:rsidRPr="00BF15FB" w14:paraId="2B0FAA85" w14:textId="77777777" w:rsidTr="00A36B50">
        <w:tc>
          <w:tcPr>
            <w:tcW w:w="2123" w:type="dxa"/>
          </w:tcPr>
          <w:p w14:paraId="23EF94FE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</w:tcPr>
          <w:p w14:paraId="39339C81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</w:tcPr>
          <w:p w14:paraId="0C07DE9A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4" w:type="dxa"/>
          </w:tcPr>
          <w:p w14:paraId="24F37657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15FB" w:rsidRPr="00BF15FB" w14:paraId="3041CA2D" w14:textId="77777777" w:rsidTr="00A36B50">
        <w:tc>
          <w:tcPr>
            <w:tcW w:w="2123" w:type="dxa"/>
          </w:tcPr>
          <w:p w14:paraId="130D6BAA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</w:tcPr>
          <w:p w14:paraId="04E806D8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</w:tcPr>
          <w:p w14:paraId="545B34C7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4" w:type="dxa"/>
          </w:tcPr>
          <w:p w14:paraId="4A04ABDB" w14:textId="77777777" w:rsidR="00BF15FB" w:rsidRPr="00BF15FB" w:rsidRDefault="00BF15FB" w:rsidP="00A3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6F5DD1D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8.7 -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Manutenção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sistema</w:t>
      </w:r>
      <w:proofErr w:type="spellEnd"/>
    </w:p>
    <w:p w14:paraId="0130874B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proprietário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possuidor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qualquer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título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edificação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é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responsável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perfeito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fabricante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instalador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co-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responsáveis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desde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observadas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especificações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manutenção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projeto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alarme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acompanhado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memorial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descritivo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também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manual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instruções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procedimentos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estabeleçam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pontos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básicos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critérios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ensaios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assistência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técnica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manutenções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preventivas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feitas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acordo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disposto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abaixo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Medição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corrente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circuito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detecção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alarme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comandos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comparação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leitura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realizada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manutenção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anterior;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b)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Verificação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supervisão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circuito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detecção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alarme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comandos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c)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Verificação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visual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geral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componentes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central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condições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operação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Verificação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carga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baterias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e)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Medição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tensão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primária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f)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Ensaio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amostragem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detectores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gás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apropriado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calor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procedimento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documentado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recomendado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fabricante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mínimo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25% do total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detectores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três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meses,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garantindo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100%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detectores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sejam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ensaiados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período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ano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g)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Ensaio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acionadores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manuais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três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meses;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h)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Ensaio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avisadores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três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meses;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Ensaio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comandos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incluindo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automáticos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combate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três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meses;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j)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Ensaio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funcional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painéis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repetidores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três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meses;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k)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Verificação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houve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alteração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dimensões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área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protegida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ocupação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novos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ventilação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ar-condicionado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elevado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forro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criação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novas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áreas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última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revisão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projeto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;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l)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Verificação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danos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rede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eletrodutos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fiação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14:paraId="3DC2EEFC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9.0 - SINALIZAÇÃO DE EMERGÊNCIA</w:t>
      </w:r>
    </w:p>
    <w:p w14:paraId="7A570FDD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908802D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Implantação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básica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/>
      </w:r>
    </w:p>
    <w:p w14:paraId="562A37F5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9.1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proibição</w:t>
      </w:r>
      <w:proofErr w:type="spellEnd"/>
    </w:p>
    <w:p w14:paraId="2CB1845A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apropriada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local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altura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mínima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1,80 m,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medida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acabado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base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mesma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distribuída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mais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de 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dentro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área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risco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de modo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pelo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menos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delas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seja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claramente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qualquer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posição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dentro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área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distanciadas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entre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máximo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15,0 m.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alerta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apropriada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local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altura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mínima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1,80 m,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medida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acabado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base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próximo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risco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isolado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distribuída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longo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área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risco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generalizado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Neste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último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distanciada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entre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máximo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15,0 m.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orientação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salvamento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emergência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apropriada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assinalar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mudanças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direção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sentido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escadas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etc.,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função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a)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emergência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localizada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imediatamente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máximo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0,10 m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verga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;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impossibilidade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desta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diretamente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folha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porta,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centralizada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altura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1,80 m,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medida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acabado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b)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orientação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localizada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modo que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distância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percurso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qualquer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até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seja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máximo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7,5 m,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modo que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sentido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qualquer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seja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visualizar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seguinte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distanciados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entre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máximo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15,0 m e de modo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base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esteja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mínimo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1,80 m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acabado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c)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identificação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pavimentos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interior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caixa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emergência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altura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1,80 m,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medida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acabado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base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d) 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existirem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específicas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deficientes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físicos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312F3C13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9.2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combate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gram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</w:t>
      </w:r>
      <w:proofErr w:type="gram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–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Equipamentos</w:t>
      </w:r>
      <w:proofErr w:type="spellEnd"/>
    </w:p>
    <w:p w14:paraId="7C207466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combate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incêndio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altura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mín.de 1,80 m,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medida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acabado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base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imediatamente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houver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área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risco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obstáculos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dificultem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impeçam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visualização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direta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básica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plano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vertical,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mesma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repetida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altura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suficiente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visualização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b)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encontrar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faces de um pilar,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as faces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visíveis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pilar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c)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existirem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situações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onde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visualização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seja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possível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apenas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placa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adotar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posicionamento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placa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adicional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dupla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face perpendicular à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superfície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placa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parede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pilar;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-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placa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angular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conforme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figura1,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afixada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parede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pilar,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acima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</w:p>
    <w:p w14:paraId="041E628C" w14:textId="77777777" w:rsidR="00BF15FB" w:rsidRPr="00BF15FB" w:rsidRDefault="00BF15FB" w:rsidP="00BF15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9.3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complementar</w:t>
      </w:r>
      <w:proofErr w:type="spellEnd"/>
    </w:p>
    <w:p w14:paraId="1CB74125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mensagens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especificas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acompanham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básica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situar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imediatamente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adjacente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complementa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idioma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português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 Caso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exista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necessidade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se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um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idioma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nunca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substituir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idioma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original, mas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incluso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adicionalmente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indicação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continua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implantada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sobre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acabado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sobre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paredes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espaçamento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instalação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de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mínimo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3,00 entre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mudança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sentido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atendo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seguintes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condições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aplicada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sobre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centralizada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largura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sentido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fluxo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b)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quando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aplicada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paredes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estar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altura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constante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entre 0,25 m e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0,50 m do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acabado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base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podendo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aplicada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alternadamente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à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parede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direita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esquerda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rota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fuga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sinalização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indicação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obstáculos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riscos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na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circulação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saídas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deve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implantada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toda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vez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houver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uma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seguintes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condições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desnível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piso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b)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rebaixo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teto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c)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outras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saliências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resultantes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elementos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construtivos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reduzam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largura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rotas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impeçam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seu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uso</w:t>
      </w:r>
      <w:proofErr w:type="spellEnd"/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BF15F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14:paraId="3D4AE954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>10.0 - EXTINTORES</w:t>
      </w:r>
    </w:p>
    <w:p w14:paraId="7DE620E4" w14:textId="77777777" w:rsidR="00BF15FB" w:rsidRPr="00BF15FB" w:rsidRDefault="00BF15FB" w:rsidP="00BF15F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088C1D2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extintores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portáteis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instalados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seguintes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condições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sinalização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extintores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atender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requisitos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item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deste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memorial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Sinalização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Emergência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extintores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portáteis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deverão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afixados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locais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com boa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visibilidade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acesso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desimpedido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alça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máximo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1,60m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piso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mínimo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0,10m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piso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mesmo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apoiado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suporte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fiquem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obstruídos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que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visibilidade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fique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prejudicada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quando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no local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designado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quadro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instruções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localizado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frontal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extintor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relação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posição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haver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mínimo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um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extintor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distante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5m da porta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acesso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entrada principal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entrada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pavimento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entrada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área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risco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.</w:t>
      </w:r>
    </w:p>
    <w:p w14:paraId="1980337D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6643FD9A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>11.0 - SISTEMA DE PROTEÇÃO POR HIDRANTES – IT 17</w:t>
      </w:r>
    </w:p>
    <w:p w14:paraId="5964F551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11240A08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IT 17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hidrantes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instalados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estarão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dentro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abrigos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terão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registros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globo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2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½”(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63mm)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diâmetro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com junta STORZ, de 2 ½” (63mm)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redução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1 ½” (38mm)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diâmetro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onde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serão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estabelecidas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linhas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mangueiras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escolhido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foi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Tipo II</w:t>
      </w:r>
    </w:p>
    <w:p w14:paraId="2EA19412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07BA551A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11.1 Da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reserva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técnica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25F82C4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285525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Tipo de material: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concreto</w:t>
      </w:r>
      <w:proofErr w:type="spellEnd"/>
    </w:p>
    <w:p w14:paraId="27575245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Tipo de RTI: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Formado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um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reservatório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metálico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apoiado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localizado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cota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alta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terreno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. Volume da RTI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litros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Capacidade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técnica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total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reservatório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(RTI)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8.000,00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Litros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reservatório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construído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maneira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possibilite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limpeza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interrupção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r w:rsidRPr="00BF15FB">
        <w:rPr>
          <w:rFonts w:ascii="Times New Roman" w:hAnsi="Times New Roman" w:cs="Times New Roman"/>
          <w:sz w:val="24"/>
          <w:szCs w:val="24"/>
        </w:rPr>
        <w:lastRenderedPageBreak/>
        <w:t xml:space="preserve">total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suprimento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água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seja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mantendo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pelo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menos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50%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reservatório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duas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células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interligadas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BFBF536" w14:textId="77777777" w:rsidR="00BF15FB" w:rsidRPr="00BF15FB" w:rsidRDefault="00BF15FB" w:rsidP="00BF15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FAF1C8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11.2 Das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mangueiras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1A6558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AE92CC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Mangueiras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com 1 ½” (38mm)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diâmetro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interno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dotadas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juntas STORZ e com 15 metros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comprimento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linhas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mangueiras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terão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máximo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02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duas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seções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permanentemente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conectadas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juntas STORZ,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prontas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imediato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abrigo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disporá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de 02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mangueiras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OBS: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mangueiras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acondicionadas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dentro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abrigos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ziguezague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aduchadas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especificado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NBR 12779,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permitindo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utilização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facilidade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rapidez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Modelo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: Industrial - Tipo: 02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Dois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)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norma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ABNT NBR 11861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Pressão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Trabalho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14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Kgf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/cm². (1370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kpa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) -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Pressão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Teste: 28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Kgf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/cm². (2745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kpa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) -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Pressão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Ruptura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55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Kgf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/cm². (4120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kpa</w:t>
      </w:r>
      <w:proofErr w:type="spellEnd"/>
      <w:proofErr w:type="gramStart"/>
      <w:r w:rsidRPr="00BF15FB">
        <w:rPr>
          <w:rFonts w:ascii="Times New Roman" w:hAnsi="Times New Roman" w:cs="Times New Roman"/>
          <w:sz w:val="24"/>
          <w:szCs w:val="24"/>
        </w:rPr>
        <w:t>)..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Cor: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Branca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Aplicação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Destina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 xml:space="preserve">se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edifício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comercial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Características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Mangueira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capa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simples,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fabricada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reforço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têxtil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sintético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confeccionado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100%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alta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tenacidade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montada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um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tubo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extrudado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borracha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sintética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vulcanizada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diretamente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capa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externa,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cola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outro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qualquer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adesivo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resistente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flexível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é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adequada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tanto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áreas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internas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externas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conexões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E.R.(Storz)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extremidades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obedecendo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norma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NBR 14349. -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Diâmetro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: Ø 1.½" X Compr.do Lance: 15 metros – </w:t>
      </w:r>
    </w:p>
    <w:p w14:paraId="34426DEF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802AC9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11.3 Dos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esguichos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F64D5E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0202DBCE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possuir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Esguichos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Jato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Sólido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1 1/2" STORZ 16 mm (Ø5/8”). </w:t>
      </w:r>
    </w:p>
    <w:p w14:paraId="42B71A58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057A77C5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11.4 Dos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abrigos</w:t>
      </w:r>
      <w:proofErr w:type="spellEnd"/>
    </w:p>
    <w:p w14:paraId="465163DC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3B70B79A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abrigos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terão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forma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paralelepipedal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com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dimensões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mínimas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70cm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altura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50cm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largura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profundidade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18 cm.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abrigo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dispor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mangueiras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esguicho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jato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sólido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risco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conter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duas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Chaves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mangueira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storz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1¹/²"x 2¹/²".</w:t>
      </w:r>
    </w:p>
    <w:p w14:paraId="6E407020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391A6C05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11.5 Da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canalização</w:t>
      </w:r>
      <w:proofErr w:type="spellEnd"/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b/>
          <w:bCs/>
          <w:sz w:val="24"/>
          <w:szCs w:val="24"/>
        </w:rPr>
        <w:t>preventiva</w:t>
      </w:r>
      <w:proofErr w:type="spellEnd"/>
    </w:p>
    <w:p w14:paraId="45AEC0FA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5C2E0365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canalização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preventiva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executada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tubos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ferro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aço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galvanizado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vermelha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resistente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pressão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mínima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18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kgf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/cm2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diâmetro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mínimo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2 ½” (63 mm),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tudo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acordo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com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normas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ABNT NBR 13714.</w:t>
      </w:r>
    </w:p>
    <w:p w14:paraId="6C452BF4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34B42FEB" w14:textId="77777777" w:rsidR="00BF15FB" w:rsidRPr="00BF15FB" w:rsidRDefault="00BF15FB" w:rsidP="00BF15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b/>
          <w:bCs/>
          <w:sz w:val="24"/>
          <w:szCs w:val="24"/>
        </w:rPr>
        <w:t xml:space="preserve">11.6 DO CÁLCULO DA BOMBA PARA HIDRANTES </w:t>
      </w:r>
    </w:p>
    <w:p w14:paraId="7F9F2302" w14:textId="77777777" w:rsidR="00BF15FB" w:rsidRPr="00BF15FB" w:rsidRDefault="00BF15FB" w:rsidP="00BF15FB">
      <w:pPr>
        <w:rPr>
          <w:rFonts w:ascii="Times New Roman" w:hAnsi="Times New Roman" w:cs="Times New Roman"/>
          <w:sz w:val="24"/>
          <w:szCs w:val="24"/>
        </w:rPr>
      </w:pPr>
    </w:p>
    <w:p w14:paraId="170EFF5C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alimentação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elétrica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independente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consumo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geral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de forma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permitir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desligamento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geral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energia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elétrica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prejuízo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funcionamento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motor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automatização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principal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reforço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executada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maneira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que,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após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partida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motor,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desligamento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seja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somente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manual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próprio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painel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comando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localizado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casa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Item B.1.6 NBR13714/2000.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um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acionamento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manual para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principal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reforço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um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seguro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permita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fácil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acesso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Item B.1.7 NBR13714/2000. 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dotado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alarme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audiovisual,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indicativo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qualquer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hidrante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acionado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automaticamente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através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pressostato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chave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fluxo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Na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localização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alarme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considerados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níveis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volume e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iluminamento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necessários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características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construtivas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ocupação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localização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relativa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alarme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pessoal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r w:rsidRPr="00BF15FB">
        <w:rPr>
          <w:rFonts w:ascii="Times New Roman" w:hAnsi="Times New Roman" w:cs="Times New Roman"/>
          <w:sz w:val="24"/>
          <w:szCs w:val="24"/>
        </w:rPr>
        <w:lastRenderedPageBreak/>
        <w:t xml:space="preserve">da Brigada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zeladoria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Este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alarme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diferenciado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alarmes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já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existentes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funções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específicas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Nos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casos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houver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necessidade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reforço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funcionamento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automático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através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chave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alarme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fluxo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retardo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e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figura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B-4 da NBR 13714/2000.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serão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interligadas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gerador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para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funcionamento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falta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energia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concessionária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Item B.2.2 NBR13714/2000.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entrada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força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para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protegida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dimensionada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suportar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funcionamento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conjunto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demais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componentes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elétricos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a plena carga.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Item B.2.3 NBR13714/2000.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um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supervisão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elétrica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de modo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detectar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qualquer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falha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instalações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elétricas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edificação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possa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interferir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funcionamento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Item B.2.4 NBR13714/2000.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chaves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elétricas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alimentação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sinalizadas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com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inscrição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“</w:t>
      </w:r>
      <w:r w:rsidRPr="00BF15FB">
        <w:rPr>
          <w:rFonts w:ascii="Times New Roman" w:hAnsi="Times New Roman" w:cs="Times New Roman"/>
          <w:b/>
          <w:bCs/>
          <w:sz w:val="24"/>
          <w:szCs w:val="24"/>
        </w:rPr>
        <w:t>ALIMENTAÇÃO DA BOMBA DE</w:t>
      </w:r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r w:rsidRPr="00BF15FB">
        <w:rPr>
          <w:rFonts w:ascii="Times New Roman" w:hAnsi="Times New Roman" w:cs="Times New Roman"/>
          <w:b/>
          <w:bCs/>
          <w:sz w:val="24"/>
          <w:szCs w:val="24"/>
        </w:rPr>
        <w:t>INCÊNDIO - NÃO DESLIGUE</w:t>
      </w:r>
      <w:r w:rsidRPr="00BF15FB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Item B.2.5 NBR13714/2000.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protegidas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danos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mecânicos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intempéries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agentes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químicos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fogo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umidade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Item B.1.4 da NBR13714/2000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dimensões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das casas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tais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permitam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acesso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toda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volta das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espaço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suficiente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qualquer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serviço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manutenção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local,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painel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comando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inclusive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viabilidade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remoção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completa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qualquer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permanecendo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15F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outra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condição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funcionamento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imediato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Item B.1.2 da NBR13714/2000 As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bombas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incêndio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utilizadas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somente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fim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Item B.1.3 da NBR13714/2000</w:t>
      </w:r>
    </w:p>
    <w:p w14:paraId="35673B2C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55DD27" w14:textId="77777777" w:rsidR="00BF15FB" w:rsidRPr="00BF15FB" w:rsidRDefault="00BF15FB" w:rsidP="00BF15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r w:rsidRPr="00BF15FB">
        <w:rPr>
          <w:rFonts w:ascii="Times New Roman" w:hAnsi="Times New Roman" w:cs="Times New Roman"/>
          <w:b/>
          <w:bCs/>
          <w:sz w:val="24"/>
          <w:szCs w:val="24"/>
        </w:rPr>
        <w:t>11.7 HIDRANTE DE RECALQUE</w:t>
      </w:r>
    </w:p>
    <w:p w14:paraId="7D11F6A8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3094E6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sz w:val="24"/>
          <w:szCs w:val="24"/>
        </w:rPr>
        <w:t xml:space="preserve"> Junto a entrada (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calçada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será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instalado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01 (um)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hidrante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recalque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enterrado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caixa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alvenaria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permeável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dreno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tampa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articulada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requadro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ferro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fundido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identificada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pela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palavra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“INCÊNDIO”, com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dimensões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0,40 m x 0,60 m,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afastada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0,50 m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guia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passeio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;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introdução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tem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voltada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cima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ângulo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45° 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posicionada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máximo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a 0,15 m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profundidade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relação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piso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passeio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figura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1; o volante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manobra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válvula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deve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situado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a no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máximo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0,50 m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nível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piso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acabado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>.</w:t>
      </w:r>
    </w:p>
    <w:p w14:paraId="23CD1DCA" w14:textId="575C5B3D" w:rsidR="00BF15FB" w:rsidRDefault="00BF15FB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p w14:paraId="0D250B5B" w14:textId="61314D84" w:rsidR="006B22CD" w:rsidRDefault="006B22CD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p w14:paraId="3B77A848" w14:textId="787F9823" w:rsidR="006B22CD" w:rsidRDefault="006B22CD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p w14:paraId="51FC6994" w14:textId="5B6B3E23" w:rsidR="006B22CD" w:rsidRDefault="006B22CD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p w14:paraId="3C3BA9B8" w14:textId="57EACBFD" w:rsidR="006B22CD" w:rsidRDefault="006B22CD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p w14:paraId="65A08213" w14:textId="59AAF296" w:rsidR="006B22CD" w:rsidRDefault="006B22CD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p w14:paraId="0E293C9C" w14:textId="5F06F786" w:rsidR="006B22CD" w:rsidRDefault="006B22CD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p w14:paraId="2952BB21" w14:textId="65E1A698" w:rsidR="006B22CD" w:rsidRDefault="006B22CD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p w14:paraId="1CC10B9C" w14:textId="34E712D9" w:rsidR="006B22CD" w:rsidRDefault="006B22CD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p w14:paraId="1FCAEAFF" w14:textId="46A5FC26" w:rsidR="006B22CD" w:rsidRDefault="006B22CD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p w14:paraId="68C70A87" w14:textId="77777777" w:rsidR="006B22CD" w:rsidRPr="00BF15FB" w:rsidRDefault="006B22CD" w:rsidP="00BF15FB">
      <w:pPr>
        <w:tabs>
          <w:tab w:val="left" w:pos="1282"/>
        </w:tabs>
        <w:spacing w:before="240" w:after="240"/>
        <w:ind w:right="-1"/>
        <w:rPr>
          <w:rFonts w:ascii="Times New Roman" w:hAnsi="Times New Roman" w:cs="Times New Roman"/>
          <w:sz w:val="24"/>
          <w:szCs w:val="24"/>
        </w:rPr>
      </w:pPr>
    </w:p>
    <w:tbl>
      <w:tblPr>
        <w:tblW w:w="9141" w:type="dxa"/>
        <w:jc w:val="center"/>
        <w:tblLook w:val="0400" w:firstRow="0" w:lastRow="0" w:firstColumn="0" w:lastColumn="0" w:noHBand="0" w:noVBand="1"/>
      </w:tblPr>
      <w:tblGrid>
        <w:gridCol w:w="551"/>
        <w:gridCol w:w="5270"/>
        <w:gridCol w:w="3320"/>
      </w:tblGrid>
      <w:tr w:rsidR="00BF15FB" w:rsidRPr="00BF15FB" w14:paraId="08CF3DEF" w14:textId="77777777" w:rsidTr="00A36B50">
        <w:trPr>
          <w:cantSplit/>
          <w:trHeight w:val="491"/>
          <w:tblHeader/>
          <w:jc w:val="center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0EFC86E2" w14:textId="77777777" w:rsidR="00BF15FB" w:rsidRPr="00BF15FB" w:rsidRDefault="00BF15FB" w:rsidP="00A36B50">
            <w:pPr>
              <w:ind w:lef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QUADRO RESUMO DO SISTEMA DE HIDRANTES E MANGOTINHOS PARA COMBATE AINCÊNDIO</w:t>
            </w:r>
          </w:p>
        </w:tc>
      </w:tr>
      <w:tr w:rsidR="00BF15FB" w:rsidRPr="00BF15FB" w14:paraId="3EC94069" w14:textId="77777777" w:rsidTr="00A36B50">
        <w:trPr>
          <w:cantSplit/>
          <w:trHeight w:val="397"/>
          <w:tblHeader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7A549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CA27C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Tipo do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sistema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adotado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23507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Sistema de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hidrante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tipo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</w:tr>
      <w:tr w:rsidR="00BF15FB" w:rsidRPr="00BF15FB" w14:paraId="47CB3127" w14:textId="77777777" w:rsidTr="00A36B50">
        <w:trPr>
          <w:cantSplit/>
          <w:trHeight w:val="397"/>
          <w:tblHeader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8C127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DA2C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Reserva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Técnica de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Incêndio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(m³) 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7C9E22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8,00 m³</w:t>
            </w:r>
          </w:p>
        </w:tc>
      </w:tr>
      <w:tr w:rsidR="00BF15FB" w:rsidRPr="00BF15FB" w14:paraId="2F31FFBA" w14:textId="77777777" w:rsidTr="00A36B50">
        <w:trPr>
          <w:cantSplit/>
          <w:trHeight w:val="415"/>
          <w:tblHeader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984DA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82C7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Tipo de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reservatório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elevado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ou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subterrâneo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D7CF21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Elevado</w:t>
            </w:r>
          </w:p>
        </w:tc>
      </w:tr>
      <w:tr w:rsidR="00BF15FB" w:rsidRPr="00BF15FB" w14:paraId="39B6BE34" w14:textId="77777777" w:rsidTr="00A36B50">
        <w:trPr>
          <w:cantSplit/>
          <w:trHeight w:val="397"/>
          <w:tblHeader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C5B23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11C04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Vazão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no HI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mais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desfavorável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(Lpm) 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8C982C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HI-01 -&gt; 166,80</w:t>
            </w:r>
          </w:p>
        </w:tc>
      </w:tr>
      <w:tr w:rsidR="00BF15FB" w:rsidRPr="00BF15FB" w14:paraId="36D9FD9B" w14:textId="77777777" w:rsidTr="00A36B50">
        <w:trPr>
          <w:cantSplit/>
          <w:trHeight w:val="413"/>
          <w:tblHeader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BB239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10CAB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Pressão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no HI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mais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desfavorável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mca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B005C3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HI-01 -&gt; 7,31</w:t>
            </w:r>
          </w:p>
        </w:tc>
      </w:tr>
      <w:tr w:rsidR="00BF15FB" w:rsidRPr="00BF15FB" w14:paraId="284197A1" w14:textId="77777777" w:rsidTr="00A36B50">
        <w:trPr>
          <w:cantSplit/>
          <w:trHeight w:val="397"/>
          <w:tblHeader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2EF36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C489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Pressão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no HI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mais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favorável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mca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36E0C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HI-6 -&gt; 9,91</w:t>
            </w:r>
          </w:p>
        </w:tc>
      </w:tr>
      <w:tr w:rsidR="00BF15FB" w:rsidRPr="00BF15FB" w14:paraId="374A07D4" w14:textId="77777777" w:rsidTr="00A36B50">
        <w:trPr>
          <w:cantSplit/>
          <w:trHeight w:val="397"/>
          <w:tblHeader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2CA16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F9C97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Potência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da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bomba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incêndio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(CV) 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57043A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2.1/2 x 2.1/2 – 4,0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Cv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R125</w:t>
            </w:r>
          </w:p>
        </w:tc>
      </w:tr>
      <w:tr w:rsidR="00BF15FB" w:rsidRPr="00BF15FB" w14:paraId="47B146D5" w14:textId="77777777" w:rsidTr="00A36B50">
        <w:trPr>
          <w:cantSplit/>
          <w:trHeight w:val="397"/>
          <w:tblHeader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B12EE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1EFCD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Potência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da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bomba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jockey (CV) -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caso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haja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98648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BC-92 S/T AV 150mm – 1.5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Cv</w:t>
            </w:r>
            <w:proofErr w:type="spellEnd"/>
          </w:p>
        </w:tc>
      </w:tr>
      <w:tr w:rsidR="00BF15FB" w:rsidRPr="00BF15FB" w14:paraId="4BD87EE7" w14:textId="77777777" w:rsidTr="00A36B50">
        <w:trPr>
          <w:cantSplit/>
          <w:trHeight w:val="397"/>
          <w:tblHeader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72893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C8F62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Tipos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mangueiras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755F5E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1.1/2 – 2 x 15,00m</w:t>
            </w:r>
          </w:p>
        </w:tc>
      </w:tr>
      <w:tr w:rsidR="00BF15FB" w:rsidRPr="00BF15FB" w14:paraId="4AD7EC51" w14:textId="77777777" w:rsidTr="00A36B50">
        <w:trPr>
          <w:cantSplit/>
          <w:trHeight w:val="1695"/>
          <w:tblHeader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94806" w14:textId="77777777" w:rsidR="00BF15FB" w:rsidRPr="00BF15FB" w:rsidRDefault="00BF15FB" w:rsidP="00A36B5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8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CDB6E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Outras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>informações</w:t>
            </w:r>
            <w:proofErr w:type="spellEnd"/>
            <w:r w:rsidRPr="00BF15FB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14:paraId="589AEF37" w14:textId="77777777" w:rsidR="00BF15FB" w:rsidRPr="00BF15FB" w:rsidRDefault="00BF15FB" w:rsidP="00A3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91C960" w14:textId="77777777" w:rsidR="00BF15FB" w:rsidRPr="00BF15FB" w:rsidRDefault="00BF15FB" w:rsidP="00BF15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E73B91" w14:textId="77777777" w:rsidR="00BF15FB" w:rsidRPr="00BF15FB" w:rsidRDefault="00BF15FB" w:rsidP="00BF15FB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5FB">
        <w:rPr>
          <w:rFonts w:ascii="Times New Roman" w:hAnsi="Times New Roman" w:cs="Times New Roman"/>
          <w:sz w:val="24"/>
          <w:szCs w:val="24"/>
        </w:rPr>
        <w:t>Conselheiro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Lafaiete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, 21 de </w:t>
      </w:r>
      <w:proofErr w:type="spellStart"/>
      <w:r w:rsidRPr="00BF15FB">
        <w:rPr>
          <w:rFonts w:ascii="Times New Roman" w:hAnsi="Times New Roman" w:cs="Times New Roman"/>
          <w:sz w:val="24"/>
          <w:szCs w:val="24"/>
        </w:rPr>
        <w:t>novembro</w:t>
      </w:r>
      <w:proofErr w:type="spellEnd"/>
      <w:r w:rsidRPr="00BF15FB">
        <w:rPr>
          <w:rFonts w:ascii="Times New Roman" w:hAnsi="Times New Roman" w:cs="Times New Roman"/>
          <w:sz w:val="24"/>
          <w:szCs w:val="24"/>
        </w:rPr>
        <w:t xml:space="preserve"> de 2022</w:t>
      </w:r>
    </w:p>
    <w:p w14:paraId="20E525C2" w14:textId="77777777" w:rsidR="00BF15FB" w:rsidRPr="00BF15FB" w:rsidRDefault="00BF15FB" w:rsidP="00BF15FB">
      <w:pPr>
        <w:jc w:val="center"/>
        <w:rPr>
          <w:rFonts w:ascii="Times New Roman" w:hAnsi="Times New Roman" w:cs="Times New Roman"/>
          <w:noProof/>
          <w:sz w:val="24"/>
          <w:szCs w:val="24"/>
          <w:lang w:eastAsia="pt-BR"/>
        </w:rPr>
      </w:pPr>
    </w:p>
    <w:p w14:paraId="11E65587" w14:textId="77777777" w:rsidR="00BF15FB" w:rsidRPr="00BF15FB" w:rsidRDefault="00BF15FB" w:rsidP="00BF15FB">
      <w:pPr>
        <w:jc w:val="center"/>
        <w:rPr>
          <w:rFonts w:ascii="Times New Roman" w:hAnsi="Times New Roman" w:cs="Times New Roman"/>
          <w:noProof/>
          <w:sz w:val="24"/>
          <w:szCs w:val="24"/>
          <w:lang w:eastAsia="pt-BR"/>
        </w:rPr>
      </w:pPr>
    </w:p>
    <w:p w14:paraId="4C6BCB8C" w14:textId="77777777" w:rsidR="00BF15FB" w:rsidRPr="00BF15FB" w:rsidRDefault="00BF15FB" w:rsidP="00BF15FB">
      <w:pPr>
        <w:jc w:val="center"/>
        <w:rPr>
          <w:rFonts w:ascii="Times New Roman" w:hAnsi="Times New Roman" w:cs="Times New Roman"/>
          <w:noProof/>
          <w:sz w:val="24"/>
          <w:szCs w:val="24"/>
          <w:lang w:eastAsia="pt-BR"/>
        </w:rPr>
      </w:pPr>
    </w:p>
    <w:p w14:paraId="5E6C99D7" w14:textId="77777777" w:rsidR="00BF15FB" w:rsidRPr="00BF15FB" w:rsidRDefault="00BF15FB" w:rsidP="00BF15FB">
      <w:pPr>
        <w:jc w:val="center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 w:rsidRPr="00BF15FB">
        <w:rPr>
          <w:rFonts w:ascii="Times New Roman" w:hAnsi="Times New Roman" w:cs="Times New Roman"/>
          <w:noProof/>
          <w:sz w:val="24"/>
          <w:szCs w:val="24"/>
          <w:lang w:eastAsia="pt-BR"/>
        </w:rPr>
        <w:t>Karine Adriane Santos Nardy</w:t>
      </w:r>
    </w:p>
    <w:p w14:paraId="0756C119" w14:textId="77777777" w:rsidR="00BF15FB" w:rsidRPr="00BF15FB" w:rsidRDefault="00BF15FB" w:rsidP="00BF15FB">
      <w:pPr>
        <w:jc w:val="center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 w:rsidRPr="00BF15FB">
        <w:rPr>
          <w:rFonts w:ascii="Times New Roman" w:hAnsi="Times New Roman" w:cs="Times New Roman"/>
          <w:noProof/>
          <w:sz w:val="24"/>
          <w:szCs w:val="24"/>
          <w:lang w:eastAsia="pt-BR"/>
        </w:rPr>
        <w:t>CREA MG 117.435/D</w:t>
      </w:r>
    </w:p>
    <w:p w14:paraId="263A9674" w14:textId="77777777" w:rsidR="00BF15FB" w:rsidRPr="00BF15FB" w:rsidRDefault="00BF15FB" w:rsidP="00BF15FB">
      <w:pPr>
        <w:jc w:val="center"/>
        <w:rPr>
          <w:rFonts w:ascii="Times New Roman" w:hAnsi="Times New Roman" w:cs="Times New Roman"/>
          <w:sz w:val="24"/>
          <w:szCs w:val="24"/>
        </w:rPr>
      </w:pPr>
      <w:r w:rsidRPr="00BF15FB">
        <w:rPr>
          <w:rFonts w:ascii="Times New Roman" w:hAnsi="Times New Roman" w:cs="Times New Roman"/>
          <w:b/>
          <w:sz w:val="24"/>
          <w:szCs w:val="24"/>
        </w:rPr>
        <w:t xml:space="preserve">Ass. </w:t>
      </w:r>
      <w:proofErr w:type="spellStart"/>
      <w:r w:rsidRPr="00BF15FB">
        <w:rPr>
          <w:rFonts w:ascii="Times New Roman" w:hAnsi="Times New Roman" w:cs="Times New Roman"/>
          <w:b/>
          <w:sz w:val="24"/>
          <w:szCs w:val="24"/>
        </w:rPr>
        <w:t>Responsável</w:t>
      </w:r>
      <w:proofErr w:type="spellEnd"/>
      <w:r w:rsidRPr="00BF15FB">
        <w:rPr>
          <w:rFonts w:ascii="Times New Roman" w:hAnsi="Times New Roman" w:cs="Times New Roman"/>
          <w:b/>
          <w:sz w:val="24"/>
          <w:szCs w:val="24"/>
        </w:rPr>
        <w:t xml:space="preserve"> Técnico - CREA/CAU</w:t>
      </w:r>
    </w:p>
    <w:p w14:paraId="78AC50C4" w14:textId="77777777" w:rsidR="00BF15FB" w:rsidRDefault="00BF15FB">
      <w:pPr>
        <w:pStyle w:val="Corpodetexto"/>
        <w:spacing w:before="3"/>
        <w:rPr>
          <w:rFonts w:ascii="Times New Roman"/>
          <w:sz w:val="27"/>
        </w:rPr>
      </w:pPr>
    </w:p>
    <w:p w14:paraId="772B4F66" w14:textId="0A416140" w:rsidR="000B7B44" w:rsidRPr="004B67BE" w:rsidRDefault="000B7B44" w:rsidP="006B22CD">
      <w:pPr>
        <w:rPr>
          <w:rFonts w:ascii="Calibri" w:eastAsia="Times New Roman" w:hAnsi="Calibri" w:cs="Times New Roman"/>
          <w:sz w:val="18"/>
          <w:szCs w:val="18"/>
          <w:lang w:val="pt-BR" w:eastAsia="pt-BR"/>
        </w:rPr>
        <w:sectPr w:rsidR="000B7B44" w:rsidRPr="004B67BE">
          <w:headerReference w:type="default" r:id="rId10"/>
          <w:footerReference w:type="default" r:id="rId11"/>
          <w:pgSz w:w="11910" w:h="16840"/>
          <w:pgMar w:top="1960" w:right="420" w:bottom="1040" w:left="1300" w:header="560" w:footer="854" w:gutter="0"/>
          <w:cols w:space="720"/>
        </w:sectPr>
      </w:pPr>
    </w:p>
    <w:p w14:paraId="772B5186" w14:textId="77777777" w:rsidR="000B2BCE" w:rsidRPr="009D02E1" w:rsidRDefault="000B2BCE" w:rsidP="0080608A">
      <w:pPr>
        <w:pStyle w:val="Corpodetexto"/>
        <w:ind w:right="672"/>
        <w:rPr>
          <w:sz w:val="18"/>
          <w:szCs w:val="18"/>
        </w:r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338"/>
        <w:gridCol w:w="1505"/>
        <w:gridCol w:w="2233"/>
        <w:gridCol w:w="2938"/>
        <w:gridCol w:w="1964"/>
      </w:tblGrid>
      <w:tr w:rsidR="000B2BCE" w:rsidRPr="009D02E1" w14:paraId="772B556B" w14:textId="77777777">
        <w:trPr>
          <w:trHeight w:hRule="exact" w:val="349"/>
        </w:trPr>
        <w:tc>
          <w:tcPr>
            <w:tcW w:w="1338" w:type="dxa"/>
          </w:tcPr>
          <w:p w14:paraId="772B5566" w14:textId="77777777" w:rsidR="000B2BCE" w:rsidRPr="009D02E1" w:rsidRDefault="000B2BCE" w:rsidP="0080608A">
            <w:pPr>
              <w:pStyle w:val="TableParagraph"/>
              <w:ind w:right="672"/>
              <w:jc w:val="left"/>
              <w:rPr>
                <w:sz w:val="18"/>
                <w:szCs w:val="18"/>
                <w:lang w:val="pt-BR"/>
              </w:rPr>
            </w:pPr>
          </w:p>
        </w:tc>
        <w:tc>
          <w:tcPr>
            <w:tcW w:w="1505" w:type="dxa"/>
          </w:tcPr>
          <w:p w14:paraId="772B5567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  <w:tc>
          <w:tcPr>
            <w:tcW w:w="2233" w:type="dxa"/>
          </w:tcPr>
          <w:p w14:paraId="772B5568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  <w:tc>
          <w:tcPr>
            <w:tcW w:w="2938" w:type="dxa"/>
          </w:tcPr>
          <w:p w14:paraId="772B5569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  <w:tc>
          <w:tcPr>
            <w:tcW w:w="1964" w:type="dxa"/>
          </w:tcPr>
          <w:p w14:paraId="772B556A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</w:tr>
    </w:tbl>
    <w:p w14:paraId="2F174943" w14:textId="77777777" w:rsidR="00662B5F" w:rsidRPr="009D02E1" w:rsidRDefault="00662B5F" w:rsidP="006B22CD">
      <w:pPr>
        <w:ind w:right="672"/>
        <w:rPr>
          <w:sz w:val="18"/>
          <w:szCs w:val="18"/>
        </w:rPr>
      </w:pPr>
    </w:p>
    <w:sectPr w:rsidR="00662B5F" w:rsidRPr="009D02E1">
      <w:footerReference w:type="default" r:id="rId12"/>
      <w:pgSz w:w="11910" w:h="16840"/>
      <w:pgMar w:top="1980" w:right="440" w:bottom="1040" w:left="1300" w:header="560" w:footer="8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919AF" w14:textId="77777777" w:rsidR="000B0AF7" w:rsidRDefault="000B0AF7">
      <w:r>
        <w:separator/>
      </w:r>
    </w:p>
  </w:endnote>
  <w:endnote w:type="continuationSeparator" w:id="0">
    <w:p w14:paraId="4A3BA0C3" w14:textId="77777777" w:rsidR="000B0AF7" w:rsidRDefault="000B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56D4" w14:textId="77777777" w:rsidR="00E12389" w:rsidRDefault="00E12389">
    <w:pPr>
      <w:pStyle w:val="Corpodetexto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56DD" w14:textId="77777777" w:rsidR="00E12389" w:rsidRDefault="00E12389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1A8B0" w14:textId="77777777" w:rsidR="000B0AF7" w:rsidRDefault="000B0AF7">
      <w:r>
        <w:separator/>
      </w:r>
    </w:p>
  </w:footnote>
  <w:footnote w:type="continuationSeparator" w:id="0">
    <w:p w14:paraId="44832E58" w14:textId="77777777" w:rsidR="000B0AF7" w:rsidRDefault="000B0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1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E12389" w:rsidRPr="00FE7840" w14:paraId="772B56C3" w14:textId="77777777" w:rsidTr="00E12389">
      <w:trPr>
        <w:cantSplit/>
        <w:trHeight w:hRule="exact" w:val="1082"/>
      </w:trPr>
      <w:tc>
        <w:tcPr>
          <w:tcW w:w="5103" w:type="dxa"/>
          <w:vAlign w:val="center"/>
        </w:tcPr>
        <w:p w14:paraId="772B56C1" w14:textId="2FB66175" w:rsidR="00E12389" w:rsidRPr="00FE7840" w:rsidRDefault="0017688A" w:rsidP="0017688A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  <w:lang w:val="pt-BR" w:eastAsia="pt-BR"/>
            </w:rPr>
            <w:drawing>
              <wp:inline distT="0" distB="0" distL="0" distR="0" wp14:anchorId="55E4C570" wp14:editId="2E3C63E3">
                <wp:extent cx="941705" cy="682625"/>
                <wp:effectExtent l="0" t="0" r="0" b="3175"/>
                <wp:docPr id="20" name="Imagem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772B56C2" w14:textId="5887F6A2" w:rsidR="00E12389" w:rsidRPr="00FE7840" w:rsidRDefault="0017688A" w:rsidP="00E12389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  <w:lang w:val="pt-BR" w:eastAsia="pt-BR"/>
            </w:rPr>
            <w:drawing>
              <wp:inline distT="0" distB="0" distL="0" distR="0" wp14:anchorId="231E3A2F" wp14:editId="00159F2B">
                <wp:extent cx="709930" cy="682625"/>
                <wp:effectExtent l="0" t="0" r="0" b="3175"/>
                <wp:docPr id="21" name="Imagem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2389" w:rsidRPr="00FE7840" w14:paraId="772B56CC" w14:textId="77777777" w:rsidTr="00E12389">
      <w:trPr>
        <w:cantSplit/>
        <w:trHeight w:val="550"/>
      </w:trPr>
      <w:tc>
        <w:tcPr>
          <w:tcW w:w="5103" w:type="dxa"/>
          <w:vMerge w:val="restart"/>
        </w:tcPr>
        <w:p w14:paraId="772B56C4" w14:textId="4F279F27" w:rsidR="00E12389" w:rsidRPr="00BD3E8E" w:rsidRDefault="00E12389" w:rsidP="00E12389">
          <w:pPr>
            <w:spacing w:line="276" w:lineRule="auto"/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 xml:space="preserve">TITULO: </w:t>
          </w:r>
          <w:r w:rsidR="0017688A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PREFEITURA MUNICPAL DE CONSELHEIRO LAFAIETE - MG</w:t>
          </w:r>
        </w:p>
        <w:p w14:paraId="772B56C5" w14:textId="77777777" w:rsidR="00E12389" w:rsidRPr="00BD3E8E" w:rsidRDefault="00E12389" w:rsidP="00E12389">
          <w:pPr>
            <w:spacing w:line="276" w:lineRule="auto"/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FASE: PROJETO EXECUTIVO</w:t>
          </w:r>
        </w:p>
        <w:p w14:paraId="772B56C6" w14:textId="3DBC6A9E" w:rsidR="00E12389" w:rsidRPr="00BD3E8E" w:rsidRDefault="00E12389" w:rsidP="00E12389">
          <w:pPr>
            <w:spacing w:line="276" w:lineRule="auto"/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 xml:space="preserve">LOCAL: </w:t>
          </w:r>
          <w:r w:rsidR="0017688A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ESCOLA MUNICIPAL BELVEDERE</w:t>
          </w:r>
        </w:p>
        <w:p w14:paraId="772B56C7" w14:textId="75E5EE76" w:rsidR="00E12389" w:rsidRPr="00BD3E8E" w:rsidRDefault="00E12389" w:rsidP="00E12389">
          <w:pPr>
            <w:spacing w:line="276" w:lineRule="auto"/>
            <w:rPr>
              <w:rFonts w:ascii="Calibri" w:hAnsi="Calibri" w:cs="Calibri"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 xml:space="preserve">DESCRIÇÃO: MEMORIAL DESCRITIVO </w:t>
          </w:r>
          <w:r w:rsidR="0017688A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DO PROJETO</w:t>
          </w:r>
        </w:p>
      </w:tc>
      <w:tc>
        <w:tcPr>
          <w:tcW w:w="3735" w:type="dxa"/>
        </w:tcPr>
        <w:p w14:paraId="772B56C8" w14:textId="77777777" w:rsidR="00E12389" w:rsidRPr="00FE7840" w:rsidRDefault="00B00917" w:rsidP="00E12389">
          <w:pPr>
            <w:rPr>
              <w:rFonts w:ascii="Calibri" w:hAnsi="Calibri" w:cs="Calibri"/>
              <w:sz w:val="16"/>
            </w:rPr>
          </w:pPr>
          <w:r>
            <w:rPr>
              <w:noProof/>
              <w:lang w:val="pt-BR" w:eastAsia="pt-BR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72B56F8" wp14:editId="772B56F9">
                    <wp:simplePos x="0" y="0"/>
                    <wp:positionH relativeFrom="column">
                      <wp:posOffset>190500</wp:posOffset>
                    </wp:positionH>
                    <wp:positionV relativeFrom="paragraph">
                      <wp:posOffset>108585</wp:posOffset>
                    </wp:positionV>
                    <wp:extent cx="1927225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27225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2B5702" w14:textId="547457D6" w:rsidR="00E12389" w:rsidRPr="00732734" w:rsidRDefault="0017688A" w:rsidP="007244C0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17688A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</w:t>
                                </w:r>
                                <w:r w:rsidR="006D77EC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</w:t>
                                </w:r>
                                <w:r w:rsidR="00BF15FB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PSCIP</w:t>
                                </w:r>
                                <w:r w:rsidR="006D77EC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</w:t>
                                </w:r>
                                <w:proofErr w:type="gramStart"/>
                                <w:r w:rsidRPr="0017688A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17688A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72B56F8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15pt;margin-top:8.55pt;width:151.75pt;height:17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" filled="f" fillcolor="#ddd" stroked="f">
                    <v:textbox>
                      <w:txbxContent>
                        <w:p w14:paraId="772B5702" w14:textId="547457D6" w:rsidR="00E12389" w:rsidRPr="00732734" w:rsidRDefault="0017688A" w:rsidP="007244C0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7688A">
                            <w:rPr>
                              <w:rFonts w:ascii="Calibri" w:hAnsi="Calibri" w:cs="Calibri"/>
                              <w:sz w:val="18"/>
                            </w:rPr>
                            <w:t>064-MD</w:t>
                          </w:r>
                          <w:r w:rsidR="006D77EC">
                            <w:rPr>
                              <w:rFonts w:ascii="Calibri" w:hAnsi="Calibri" w:cs="Calibri"/>
                              <w:sz w:val="18"/>
                            </w:rPr>
                            <w:t>-</w:t>
                          </w:r>
                          <w:r w:rsidR="00BF15FB">
                            <w:rPr>
                              <w:rFonts w:ascii="Calibri" w:hAnsi="Calibri" w:cs="Calibri"/>
                              <w:sz w:val="18"/>
                            </w:rPr>
                            <w:t>PSCIP</w:t>
                          </w:r>
                          <w:r w:rsidR="006D77EC">
                            <w:rPr>
                              <w:rFonts w:ascii="Calibri" w:hAnsi="Calibri" w:cs="Calibri"/>
                              <w:sz w:val="18"/>
                            </w:rPr>
                            <w:t>-</w:t>
                          </w:r>
                          <w:proofErr w:type="gramStart"/>
                          <w:r w:rsidRPr="0017688A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17688A">
                            <w:rPr>
                              <w:rFonts w:ascii="Calibri" w:hAnsi="Calibri" w:cs="Calibri"/>
                              <w:sz w:val="18"/>
                            </w:rPr>
                            <w:t>-CL-R00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12389" w:rsidRPr="00FE7840">
            <w:rPr>
              <w:rFonts w:ascii="Calibri" w:hAnsi="Calibri" w:cs="Calibri"/>
              <w:sz w:val="16"/>
            </w:rPr>
            <w:t>Nº SERRA</w:t>
          </w:r>
        </w:p>
        <w:p w14:paraId="772B56C9" w14:textId="77777777" w:rsidR="00E12389" w:rsidRPr="00FE7840" w:rsidRDefault="00E12389" w:rsidP="00E12389">
          <w:pPr>
            <w:spacing w:before="12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772B56CA" w14:textId="77777777" w:rsidR="00E12389" w:rsidRPr="00FE7840" w:rsidRDefault="00E12389" w:rsidP="00E12389">
          <w:pPr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772B56CB" w14:textId="77777777" w:rsidR="00E12389" w:rsidRPr="00FE7840" w:rsidRDefault="00E12389" w:rsidP="00E12389">
          <w:pPr>
            <w:spacing w:before="12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separate"/>
          </w:r>
          <w:r w:rsidR="00214A0C">
            <w:rPr>
              <w:rStyle w:val="Nmerodepgina"/>
              <w:rFonts w:ascii="Calibri" w:hAnsi="Calibri" w:cs="Calibri"/>
              <w:b/>
              <w:bCs/>
              <w:noProof/>
              <w:sz w:val="20"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separate"/>
          </w:r>
          <w:r w:rsidR="00214A0C">
            <w:rPr>
              <w:rStyle w:val="Nmerodepgina"/>
              <w:rFonts w:ascii="Calibri" w:hAnsi="Calibri" w:cs="Calibri"/>
              <w:b/>
              <w:bCs/>
              <w:noProof/>
              <w:sz w:val="20"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end"/>
          </w:r>
        </w:p>
      </w:tc>
    </w:tr>
    <w:tr w:rsidR="00E12389" w:rsidRPr="00FE7840" w14:paraId="772B56D2" w14:textId="77777777" w:rsidTr="00E12389">
      <w:trPr>
        <w:cantSplit/>
        <w:trHeight w:val="607"/>
      </w:trPr>
      <w:tc>
        <w:tcPr>
          <w:tcW w:w="5103" w:type="dxa"/>
          <w:vMerge/>
        </w:tcPr>
        <w:p w14:paraId="772B56CD" w14:textId="77777777" w:rsidR="00E12389" w:rsidRPr="00FE7840" w:rsidRDefault="00E12389" w:rsidP="00E12389">
          <w:pPr>
            <w:tabs>
              <w:tab w:val="left" w:pos="851"/>
            </w:tabs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772B56CE" w14:textId="77777777" w:rsidR="00E12389" w:rsidRPr="00FE7840" w:rsidRDefault="00B00917" w:rsidP="00E12389">
          <w:pPr>
            <w:rPr>
              <w:rFonts w:ascii="Calibri" w:hAnsi="Calibri" w:cs="Calibri"/>
              <w:sz w:val="16"/>
            </w:rPr>
          </w:pPr>
          <w:r>
            <w:rPr>
              <w:noProof/>
              <w:lang w:val="pt-BR" w:eastAsia="pt-BR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72B56FA" wp14:editId="772B56FB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2B5703" w14:textId="32932C99" w:rsidR="00E12389" w:rsidRPr="008F0C3F" w:rsidRDefault="00330ADB" w:rsidP="007244C0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17</w:t>
                                </w:r>
                                <w:r w:rsidR="00E12389"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="00E12389"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17688A"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72B56FA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772B5703" w14:textId="32932C99" w:rsidR="00E12389" w:rsidRPr="008F0C3F" w:rsidRDefault="00330ADB" w:rsidP="007244C0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17</w:t>
                          </w:r>
                          <w:r w:rsidR="00E12389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10</w:t>
                          </w:r>
                          <w:r w:rsidR="00E12389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/</w:t>
                          </w:r>
                          <w:r w:rsidR="0017688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12389" w:rsidRPr="00FE7840">
            <w:rPr>
              <w:rFonts w:ascii="Calibri" w:hAnsi="Calibri" w:cs="Calibri"/>
              <w:sz w:val="16"/>
            </w:rPr>
            <w:t>DATA</w:t>
          </w:r>
        </w:p>
        <w:p w14:paraId="772B56CF" w14:textId="77777777" w:rsidR="00E12389" w:rsidRPr="00FE7840" w:rsidRDefault="00E12389" w:rsidP="00E12389">
          <w:pPr>
            <w:spacing w:before="12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772B56D0" w14:textId="77777777" w:rsidR="00E12389" w:rsidRPr="00FE7840" w:rsidRDefault="00E12389" w:rsidP="00E12389">
          <w:pPr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772B56D1" w14:textId="77777777" w:rsidR="00E12389" w:rsidRPr="00FE7840" w:rsidRDefault="00E12389" w:rsidP="00E12389">
          <w:pPr>
            <w:spacing w:before="12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772B56D3" w14:textId="77777777" w:rsidR="00E12389" w:rsidRDefault="00E12389">
    <w:pPr>
      <w:pStyle w:val="Corpodetex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E02"/>
    <w:multiLevelType w:val="hybridMultilevel"/>
    <w:tmpl w:val="3312B9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06C"/>
    <w:multiLevelType w:val="hybridMultilevel"/>
    <w:tmpl w:val="0BA62C06"/>
    <w:lvl w:ilvl="0" w:tplc="0416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22354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2D1DEB"/>
    <w:multiLevelType w:val="hybridMultilevel"/>
    <w:tmpl w:val="F63E2B4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046BF"/>
    <w:multiLevelType w:val="hybridMultilevel"/>
    <w:tmpl w:val="79DECDD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534ED"/>
    <w:multiLevelType w:val="hybridMultilevel"/>
    <w:tmpl w:val="724A1F9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3CB745C"/>
    <w:multiLevelType w:val="hybridMultilevel"/>
    <w:tmpl w:val="85F0DEB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40C4E"/>
    <w:multiLevelType w:val="hybridMultilevel"/>
    <w:tmpl w:val="8C6EE2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46C47"/>
    <w:multiLevelType w:val="hybridMultilevel"/>
    <w:tmpl w:val="4A7A9E7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4867956"/>
    <w:multiLevelType w:val="hybridMultilevel"/>
    <w:tmpl w:val="5C4897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B01314A"/>
    <w:multiLevelType w:val="hybridMultilevel"/>
    <w:tmpl w:val="5B6EE1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001598">
    <w:abstractNumId w:val="4"/>
  </w:num>
  <w:num w:numId="2" w16cid:durableId="852765420">
    <w:abstractNumId w:val="2"/>
  </w:num>
  <w:num w:numId="3" w16cid:durableId="245959747">
    <w:abstractNumId w:val="7"/>
  </w:num>
  <w:num w:numId="4" w16cid:durableId="1978141993">
    <w:abstractNumId w:val="10"/>
  </w:num>
  <w:num w:numId="5" w16cid:durableId="574051165">
    <w:abstractNumId w:val="1"/>
  </w:num>
  <w:num w:numId="6" w16cid:durableId="681322040">
    <w:abstractNumId w:val="6"/>
  </w:num>
  <w:num w:numId="7" w16cid:durableId="1466194744">
    <w:abstractNumId w:val="9"/>
  </w:num>
  <w:num w:numId="8" w16cid:durableId="557209751">
    <w:abstractNumId w:val="5"/>
  </w:num>
  <w:num w:numId="9" w16cid:durableId="865365191">
    <w:abstractNumId w:val="8"/>
  </w:num>
  <w:num w:numId="10" w16cid:durableId="263150601">
    <w:abstractNumId w:val="0"/>
  </w:num>
  <w:num w:numId="11" w16cid:durableId="1334187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BCE"/>
    <w:rsid w:val="00015D78"/>
    <w:rsid w:val="000441D8"/>
    <w:rsid w:val="000618AC"/>
    <w:rsid w:val="000B0AF7"/>
    <w:rsid w:val="000B2BCE"/>
    <w:rsid w:val="000B7B44"/>
    <w:rsid w:val="00133034"/>
    <w:rsid w:val="0017688A"/>
    <w:rsid w:val="002031E2"/>
    <w:rsid w:val="00214A0C"/>
    <w:rsid w:val="002702DD"/>
    <w:rsid w:val="002967BD"/>
    <w:rsid w:val="002C63BB"/>
    <w:rsid w:val="00320291"/>
    <w:rsid w:val="00330ADB"/>
    <w:rsid w:val="003A3804"/>
    <w:rsid w:val="003B654E"/>
    <w:rsid w:val="003E4719"/>
    <w:rsid w:val="00412B27"/>
    <w:rsid w:val="00444477"/>
    <w:rsid w:val="00452B3B"/>
    <w:rsid w:val="0047727C"/>
    <w:rsid w:val="004B67BE"/>
    <w:rsid w:val="005067F7"/>
    <w:rsid w:val="00632CAE"/>
    <w:rsid w:val="00662B5F"/>
    <w:rsid w:val="006B22CD"/>
    <w:rsid w:val="006D6F18"/>
    <w:rsid w:val="006D77EC"/>
    <w:rsid w:val="00703827"/>
    <w:rsid w:val="00713BDD"/>
    <w:rsid w:val="007244C0"/>
    <w:rsid w:val="007655A6"/>
    <w:rsid w:val="007739F3"/>
    <w:rsid w:val="007C0C25"/>
    <w:rsid w:val="0080439D"/>
    <w:rsid w:val="0080608A"/>
    <w:rsid w:val="008E7481"/>
    <w:rsid w:val="00926FB2"/>
    <w:rsid w:val="00975B1C"/>
    <w:rsid w:val="00977808"/>
    <w:rsid w:val="009867A2"/>
    <w:rsid w:val="009D02E1"/>
    <w:rsid w:val="009D09DC"/>
    <w:rsid w:val="009F52DC"/>
    <w:rsid w:val="00A01977"/>
    <w:rsid w:val="00A755DB"/>
    <w:rsid w:val="00AA318A"/>
    <w:rsid w:val="00AB1EE7"/>
    <w:rsid w:val="00AD029E"/>
    <w:rsid w:val="00B00917"/>
    <w:rsid w:val="00BA2C9F"/>
    <w:rsid w:val="00BA7474"/>
    <w:rsid w:val="00BD1D6E"/>
    <w:rsid w:val="00BD3E8E"/>
    <w:rsid w:val="00BF15FB"/>
    <w:rsid w:val="00C27AFE"/>
    <w:rsid w:val="00C34E95"/>
    <w:rsid w:val="00C93299"/>
    <w:rsid w:val="00C9460F"/>
    <w:rsid w:val="00CC66ED"/>
    <w:rsid w:val="00D057A3"/>
    <w:rsid w:val="00D15085"/>
    <w:rsid w:val="00D20FD9"/>
    <w:rsid w:val="00D60CEC"/>
    <w:rsid w:val="00DD3056"/>
    <w:rsid w:val="00E03326"/>
    <w:rsid w:val="00E12389"/>
    <w:rsid w:val="00EA0C91"/>
    <w:rsid w:val="00F211DF"/>
    <w:rsid w:val="00F31725"/>
    <w:rsid w:val="00F6113D"/>
    <w:rsid w:val="00F919A3"/>
    <w:rsid w:val="00F9443C"/>
    <w:rsid w:val="00FA1AB9"/>
    <w:rsid w:val="00FA5925"/>
    <w:rsid w:val="00FE7F43"/>
    <w:rsid w:val="00FF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B410A"/>
  <w15:docId w15:val="{1F49A5CE-5D72-451C-AF23-B218F8C2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aliases w:val="OESTE (1.0)"/>
    <w:basedOn w:val="Normal"/>
    <w:link w:val="Ttulo1Char"/>
    <w:qFormat/>
    <w:pPr>
      <w:spacing w:before="66"/>
      <w:ind w:left="111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spacing w:line="272" w:lineRule="exact"/>
      <w:ind w:left="111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spacing w:before="173"/>
      <w:ind w:left="15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Pr>
      <w:sz w:val="20"/>
      <w:szCs w:val="20"/>
    </w:rPr>
  </w:style>
  <w:style w:type="paragraph" w:styleId="Pargrafoda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spacing w:before="24"/>
      <w:jc w:val="right"/>
    </w:pPr>
  </w:style>
  <w:style w:type="paragraph" w:styleId="Cabealho">
    <w:name w:val="header"/>
    <w:basedOn w:val="Normal"/>
    <w:link w:val="CabealhoChar"/>
    <w:unhideWhenUsed/>
    <w:rsid w:val="00015D7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15D78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015D7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15D78"/>
    <w:rPr>
      <w:rFonts w:ascii="Arial" w:eastAsia="Arial" w:hAnsi="Arial" w:cs="Arial"/>
    </w:rPr>
  </w:style>
  <w:style w:type="character" w:styleId="Nmerodepgina">
    <w:name w:val="page number"/>
    <w:rsid w:val="00C34E95"/>
  </w:style>
  <w:style w:type="paragraph" w:styleId="Textodebalo">
    <w:name w:val="Balloon Text"/>
    <w:basedOn w:val="Normal"/>
    <w:link w:val="TextodebaloChar"/>
    <w:uiPriority w:val="99"/>
    <w:semiHidden/>
    <w:unhideWhenUsed/>
    <w:rsid w:val="00C34E9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4E95"/>
    <w:rPr>
      <w:rFonts w:ascii="Tahoma" w:eastAsia="Arial" w:hAnsi="Tahoma" w:cs="Tahoma"/>
      <w:sz w:val="16"/>
      <w:szCs w:val="16"/>
    </w:rPr>
  </w:style>
  <w:style w:type="character" w:customStyle="1" w:styleId="CorpodetextoChar">
    <w:name w:val="Corpo de texto Char"/>
    <w:link w:val="Corpodetexto"/>
    <w:rsid w:val="00E12389"/>
    <w:rPr>
      <w:rFonts w:ascii="Arial" w:eastAsia="Arial" w:hAnsi="Arial" w:cs="Arial"/>
      <w:sz w:val="20"/>
      <w:szCs w:val="20"/>
    </w:rPr>
  </w:style>
  <w:style w:type="character" w:customStyle="1" w:styleId="Ttulo1Char">
    <w:name w:val="Título 1 Char"/>
    <w:aliases w:val="OESTE (1.0) Char"/>
    <w:link w:val="Ttulo1"/>
    <w:rsid w:val="0080608A"/>
    <w:rPr>
      <w:rFonts w:ascii="Arial" w:eastAsia="Arial" w:hAnsi="Arial" w:cs="Arial"/>
      <w:b/>
      <w:bCs/>
      <w:sz w:val="28"/>
      <w:szCs w:val="28"/>
    </w:rPr>
  </w:style>
  <w:style w:type="paragraph" w:customStyle="1" w:styleId="Default">
    <w:name w:val="Default"/>
    <w:rsid w:val="004B67BE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713BDD"/>
    <w:pPr>
      <w:widowControl/>
      <w:ind w:left="-85" w:right="23"/>
    </w:pPr>
    <w:rPr>
      <w:rFonts w:eastAsia="Times New Roman" w:cs="Times New Roman"/>
      <w:b/>
      <w:sz w:val="18"/>
      <w:szCs w:val="20"/>
      <w:lang w:val="pt-BR" w:eastAsia="pt-BR"/>
    </w:rPr>
  </w:style>
  <w:style w:type="table" w:styleId="Tabelacomgrade">
    <w:name w:val="Table Grid"/>
    <w:basedOn w:val="Tabelanormal"/>
    <w:uiPriority w:val="39"/>
    <w:rsid w:val="00713BDD"/>
    <w:pPr>
      <w:widowControl/>
    </w:pPr>
    <w:rPr>
      <w:rFonts w:ascii="Times New Roman" w:eastAsia="Times New Roman" w:hAnsi="Times New Roman" w:cs="Times New Roman"/>
      <w:sz w:val="20"/>
      <w:szCs w:val="20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Fontepargpadro"/>
    <w:rsid w:val="00BF15FB"/>
  </w:style>
  <w:style w:type="character" w:styleId="Hyperlink">
    <w:name w:val="Hyperlink"/>
    <w:basedOn w:val="Fontepargpadro"/>
    <w:uiPriority w:val="99"/>
    <w:semiHidden/>
    <w:unhideWhenUsed/>
    <w:rsid w:val="00BF15FB"/>
    <w:rPr>
      <w:color w:val="0000FF"/>
      <w:u w:val="single"/>
    </w:rPr>
  </w:style>
  <w:style w:type="paragraph" w:styleId="SemEspaamento">
    <w:name w:val="No Spacing"/>
    <w:uiPriority w:val="1"/>
    <w:qFormat/>
    <w:rsid w:val="00BF15FB"/>
    <w:pPr>
      <w:widowControl/>
      <w:spacing w:before="100"/>
    </w:pPr>
    <w:rPr>
      <w:rFonts w:eastAsiaTheme="minorEastAsia"/>
      <w:sz w:val="20"/>
      <w:szCs w:val="2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mbeiros.mg.gov.br/storage/files/shares/intrucoestecnicas/IT_35_2a_Ed_portaria_65_emenda_3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5902</Words>
  <Characters>31873</Characters>
  <Application>Microsoft Office Word</Application>
  <DocSecurity>0</DocSecurity>
  <Lines>265</Lines>
  <Paragraphs>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file:///C:/Users/PauloRoberto/AppData/Local/Temp/OutA319.tmp/Ba</vt:lpstr>
    </vt:vector>
  </TitlesOfParts>
  <Company/>
  <LinksUpToDate>false</LinksUpToDate>
  <CharactersWithSpaces>37700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file:///C:/Users/PauloRoberto/AppData/Local/Temp/OutA319.tmp/Ba</dc:title>
  <dc:creator>PauloRoberto</dc:creator>
  <cp:lastModifiedBy>Amanda Soares</cp:lastModifiedBy>
  <cp:revision>2</cp:revision>
  <cp:lastPrinted>2016-09-09T16:28:00Z</cp:lastPrinted>
  <dcterms:created xsi:type="dcterms:W3CDTF">2022-11-21T19:08:00Z</dcterms:created>
  <dcterms:modified xsi:type="dcterms:W3CDTF">2022-11-21T19:08:00Z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2016-08-26T00:00:00Z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2016-08-28T00:00:00Z</vt:filetime>
  </property>
</Properties>
</file>